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-114300</wp:posOffset>
                </wp:positionH>
                <wp:positionV relativeFrom="paragraph">
                  <wp:posOffset>196849</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59264;mso-wrap-distance-left:9.0pt;mso-wrap-distance-top:0.0pt;mso-wrap-distance-right:9.0pt;mso-wrap-distance-bottom:-169093.2pt;visibility:visible;" from="-9.0pt,15.5pt" to="-8.9pt,15.5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rPr>
        <w:t xml:space="preserve">江阴市</w:t>
      </w:r>
      <w:r>
        <w:rPr>
          <w:rFonts w:hint="eastAsia" w:ascii="宋体" w:hAnsi="宋体" w:eastAsia="宋体" w:cs="宋体"/>
          <w:bCs/>
          <w:sz w:val="32"/>
          <w:szCs w:val="32"/>
        </w:rPr>
        <w:t xml:space="preserve">璜土中心</w:t>
      </w:r>
      <w:r>
        <w:rPr>
          <w:rFonts w:hint="eastAsia" w:ascii="宋体" w:hAnsi="宋体" w:eastAsia="宋体" w:cs="宋体"/>
          <w:bCs/>
          <w:sz w:val="32"/>
          <w:szCs w:val="32"/>
        </w:rPr>
        <w:t xml:space="preserve">幼儿园新园家具采购项目</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JSZC-320281-JZCG-G2025-0066</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w:t>
      </w:r>
      <w:r>
        <w:rPr>
          <w:rFonts w:hint="eastAsia" w:ascii="宋体" w:hAnsi="宋体" w:eastAsia="宋体" w:cs="Times New Roman"/>
          <w:bCs/>
          <w:sz w:val="48"/>
          <w:szCs w:val="24"/>
        </w:rPr>
        <w:t xml:space="preserve">五</w:t>
      </w:r>
      <w:r>
        <w:rPr>
          <w:rFonts w:hint="eastAsia" w:ascii="宋体" w:hAnsi="宋体" w:eastAsia="宋体" w:cs="Times New Roman"/>
          <w:bCs/>
          <w:sz w:val="48"/>
          <w:szCs w:val="24"/>
        </w:rPr>
        <w:t xml:space="preserve">年</w:t>
      </w:r>
      <w:r>
        <w:rPr>
          <w:rFonts w:hint="eastAsia" w:ascii="宋体" w:hAnsi="宋体" w:eastAsia="宋体" w:cs="Times New Roman"/>
          <w:bCs/>
          <w:sz w:val="48"/>
          <w:szCs w:val="24"/>
        </w:rPr>
        <w:t xml:space="preserve">十</w:t>
      </w:r>
      <w:r>
        <w:rPr>
          <w:rFonts w:hint="eastAsia" w:ascii="宋体" w:hAnsi="宋体" w:eastAsia="宋体" w:cs="Times New Roman"/>
          <w:bCs/>
          <w:sz w:val="48"/>
          <w:szCs w:val="24"/>
        </w:rPr>
        <w:t xml:space="preserve">一</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950"/>
        <w:spacing w:line="600" w:lineRule="exact"/>
        <w:tabs>
          <w:tab w:val="right" w:pos="9402" w:leader="dot"/>
        </w:tabs>
        <w:rPr>
          <w:rFonts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hyperlink w:tooltip="#_Toc213847313" w:anchor="_Toc213847313" w:history="1">
        <w:r>
          <w:rPr>
            <w:rStyle w:val="951"/>
            <w:rFonts w:hint="eastAsia" w:ascii="宋体" w:hAnsi="宋体" w:eastAsia="宋体"/>
            <w:color w:val="auto"/>
            <w:sz w:val="30"/>
            <w:szCs w:val="30"/>
          </w:rPr>
          <w:t xml:space="preserve">第一章　投标邀请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r>
        <w:r>
          <w:rPr>
            <w:rFonts w:eastAsia="宋体"/>
            <w:sz w:val="30"/>
            <w:szCs w:val="30"/>
          </w:rPr>
          <w:fldChar w:fldCharType="separate"/>
        </w:r>
        <w:r>
          <w:rPr>
            <w:rStyle w:val="951"/>
            <w:rFonts w:hint="eastAsia" w:ascii="宋体" w:hAnsi="宋体" w:eastAsia="宋体"/>
            <w:color w:val="auto"/>
            <w:sz w:val="30"/>
            <w:szCs w:val="30"/>
          </w:rPr>
          <w:t xml:space="preserve">3</w:t>
        </w:r>
        <w:r>
          <w:rPr>
            <w:rFonts w:eastAsia="宋体"/>
            <w:sz w:val="30"/>
            <w:szCs w:val="30"/>
          </w:rPr>
        </w:r>
        <w:r>
          <w:rPr>
            <w:rFonts w:eastAsia="宋体"/>
            <w:sz w:val="30"/>
            <w:szCs w:val="30"/>
          </w:rPr>
          <w:fldChar w:fldCharType="end"/>
        </w:r>
      </w:hyperlink>
      <w:r/>
      <w:r/>
    </w:p>
    <w:p>
      <w:pPr>
        <w:pStyle w:val="950"/>
        <w:spacing w:line="600" w:lineRule="exact"/>
        <w:tabs>
          <w:tab w:val="right" w:pos="9402" w:leader="dot"/>
        </w:tabs>
        <w:rPr>
          <w:rFonts w:ascii="宋体" w:hAnsi="宋体" w:eastAsia="宋体"/>
          <w:bCs w:val="0"/>
          <w:caps w:val="0"/>
          <w:sz w:val="30"/>
          <w:szCs w:val="30"/>
        </w:rPr>
      </w:pPr>
      <w:r/>
      <w:hyperlink w:tooltip="#_Toc213847314" w:anchor="_Toc213847314" w:history="1">
        <w:r>
          <w:rPr>
            <w:rStyle w:val="951"/>
            <w:rFonts w:hint="eastAsia" w:ascii="宋体" w:hAnsi="宋体" w:eastAsia="宋体"/>
            <w:color w:val="auto"/>
            <w:sz w:val="30"/>
            <w:szCs w:val="30"/>
          </w:rPr>
          <w:t xml:space="preserve">第二章　投标人须知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r>
        <w:r>
          <w:rPr>
            <w:rFonts w:eastAsia="宋体"/>
            <w:sz w:val="30"/>
            <w:szCs w:val="30"/>
          </w:rPr>
          <w:fldChar w:fldCharType="separate"/>
        </w:r>
        <w:r>
          <w:rPr>
            <w:rStyle w:val="951"/>
            <w:rFonts w:hint="eastAsia" w:ascii="宋体" w:hAnsi="宋体" w:eastAsia="宋体"/>
            <w:color w:val="auto"/>
            <w:sz w:val="30"/>
            <w:szCs w:val="30"/>
          </w:rPr>
          <w:t xml:space="preserve">6</w:t>
        </w:r>
        <w:r>
          <w:rPr>
            <w:rFonts w:eastAsia="宋体"/>
            <w:sz w:val="30"/>
            <w:szCs w:val="30"/>
          </w:rPr>
        </w:r>
        <w:r>
          <w:rPr>
            <w:rFonts w:eastAsia="宋体"/>
            <w:sz w:val="30"/>
            <w:szCs w:val="30"/>
          </w:rPr>
          <w:fldChar w:fldCharType="end"/>
        </w:r>
      </w:hyperlink>
      <w:r/>
      <w:r/>
    </w:p>
    <w:p>
      <w:pPr>
        <w:pStyle w:val="950"/>
        <w:spacing w:line="600" w:lineRule="exact"/>
        <w:tabs>
          <w:tab w:val="right" w:pos="9402" w:leader="dot"/>
        </w:tabs>
        <w:rPr>
          <w:rFonts w:ascii="宋体" w:hAnsi="宋体" w:eastAsia="宋体"/>
          <w:bCs w:val="0"/>
          <w:caps w:val="0"/>
          <w:sz w:val="30"/>
          <w:szCs w:val="30"/>
        </w:rPr>
      </w:pPr>
      <w:r/>
      <w:hyperlink w:tooltip="#_Toc213847315" w:anchor="_Toc213847315" w:history="1">
        <w:r>
          <w:rPr>
            <w:rStyle w:val="951"/>
            <w:rFonts w:hint="eastAsia" w:ascii="宋体" w:hAnsi="宋体" w:eastAsia="宋体"/>
            <w:color w:val="auto"/>
            <w:sz w:val="30"/>
            <w:szCs w:val="30"/>
          </w:rPr>
          <w:t xml:space="preserve">第三章　项目要求和有关说明</w:t>
        </w:r>
        <w:r>
          <w:rPr>
            <w:rFonts w:eastAsia="宋体"/>
            <w:sz w:val="30"/>
            <w:szCs w:val="30"/>
          </w:rPr>
          <w:tab/>
        </w:r>
        <w:r>
          <w:rPr>
            <w:rFonts w:eastAsia="宋体"/>
            <w:sz w:val="30"/>
            <w:szCs w:val="30"/>
          </w:rPr>
          <w:fldChar w:fldCharType="begin"/>
        </w:r>
        <w:r>
          <w:rPr>
            <w:rFonts w:eastAsia="宋体"/>
            <w:sz w:val="30"/>
            <w:szCs w:val="30"/>
          </w:rPr>
          <w:instrText xml:space="preserve"> PAGEREF _Toc213847315 \h </w:instrText>
        </w:r>
        <w:r>
          <w:rPr>
            <w:rFonts w:eastAsia="宋体"/>
            <w:sz w:val="30"/>
            <w:szCs w:val="30"/>
          </w:rPr>
        </w:r>
        <w:r>
          <w:rPr>
            <w:rFonts w:eastAsia="宋体"/>
            <w:sz w:val="30"/>
            <w:szCs w:val="30"/>
          </w:rPr>
          <w:fldChar w:fldCharType="separate"/>
        </w:r>
        <w:r>
          <w:rPr>
            <w:rStyle w:val="951"/>
            <w:rFonts w:hint="eastAsia" w:ascii="宋体" w:hAnsi="宋体" w:eastAsia="宋体"/>
            <w:color w:val="auto"/>
            <w:sz w:val="30"/>
            <w:szCs w:val="30"/>
          </w:rPr>
          <w:t xml:space="preserve">17</w:t>
        </w:r>
        <w:r>
          <w:rPr>
            <w:rFonts w:eastAsia="宋体"/>
            <w:sz w:val="30"/>
            <w:szCs w:val="30"/>
          </w:rPr>
        </w:r>
        <w:r>
          <w:rPr>
            <w:rFonts w:eastAsia="宋体"/>
            <w:sz w:val="30"/>
            <w:szCs w:val="30"/>
          </w:rPr>
          <w:fldChar w:fldCharType="end"/>
        </w:r>
      </w:hyperlink>
      <w:r/>
      <w:r/>
    </w:p>
    <w:p>
      <w:pPr>
        <w:pStyle w:val="950"/>
        <w:spacing w:line="600" w:lineRule="exact"/>
        <w:tabs>
          <w:tab w:val="right" w:pos="9402" w:leader="dot"/>
        </w:tabs>
        <w:rPr>
          <w:rFonts w:ascii="宋体" w:hAnsi="宋体" w:eastAsia="宋体"/>
          <w:bCs w:val="0"/>
          <w:caps w:val="0"/>
          <w:sz w:val="30"/>
          <w:szCs w:val="30"/>
        </w:rPr>
      </w:pPr>
      <w:r/>
      <w:hyperlink w:tooltip="#_Toc213847316" w:anchor="_Toc213847316" w:history="1">
        <w:r>
          <w:rPr>
            <w:rStyle w:val="951"/>
            <w:rFonts w:hint="eastAsia" w:ascii="宋体" w:hAnsi="宋体" w:eastAsia="宋体"/>
            <w:color w:val="auto"/>
            <w:sz w:val="30"/>
            <w:szCs w:val="30"/>
          </w:rPr>
          <w:t xml:space="preserve">第四章</w:t>
        </w:r>
        <w:r>
          <w:rPr>
            <w:rStyle w:val="951"/>
            <w:rFonts w:ascii="宋体" w:hAnsi="宋体" w:eastAsia="宋体"/>
            <w:color w:val="auto"/>
            <w:sz w:val="30"/>
            <w:szCs w:val="30"/>
          </w:rPr>
          <w:t xml:space="preserve">  </w:t>
        </w:r>
        <w:r>
          <w:rPr>
            <w:rStyle w:val="951"/>
            <w:rFonts w:hint="eastAsia" w:ascii="宋体" w:hAnsi="宋体" w:eastAsia="宋体"/>
            <w:color w:val="auto"/>
            <w:sz w:val="30"/>
            <w:szCs w:val="30"/>
          </w:rPr>
          <w:t xml:space="preserve">评标方法和评标标准</w:t>
        </w:r>
        <w:r>
          <w:rPr>
            <w:rFonts w:eastAsia="宋体"/>
            <w:sz w:val="30"/>
            <w:szCs w:val="30"/>
          </w:rPr>
          <w:tab/>
        </w:r>
        <w:r>
          <w:rPr>
            <w:rFonts w:eastAsia="宋体"/>
            <w:sz w:val="30"/>
            <w:szCs w:val="30"/>
          </w:rPr>
          <w:fldChar w:fldCharType="begin"/>
        </w:r>
        <w:r>
          <w:rPr>
            <w:rFonts w:eastAsia="宋体"/>
            <w:sz w:val="30"/>
            <w:szCs w:val="30"/>
          </w:rPr>
          <w:instrText xml:space="preserve"> PAGEREF _Toc213847316 \h </w:instrText>
        </w:r>
        <w:r>
          <w:rPr>
            <w:rFonts w:eastAsia="宋体"/>
            <w:sz w:val="30"/>
            <w:szCs w:val="30"/>
          </w:rPr>
        </w:r>
        <w:r>
          <w:rPr>
            <w:rFonts w:eastAsia="宋体"/>
            <w:sz w:val="30"/>
            <w:szCs w:val="30"/>
          </w:rPr>
          <w:fldChar w:fldCharType="separate"/>
        </w:r>
        <w:r>
          <w:rPr>
            <w:rStyle w:val="951"/>
            <w:rFonts w:hint="eastAsia" w:ascii="宋体" w:hAnsi="宋体" w:eastAsia="宋体"/>
            <w:color w:val="auto"/>
            <w:sz w:val="30"/>
            <w:szCs w:val="30"/>
          </w:rPr>
          <w:t xml:space="preserve">22</w:t>
        </w:r>
        <w:r>
          <w:rPr>
            <w:rFonts w:eastAsia="宋体"/>
            <w:sz w:val="30"/>
            <w:szCs w:val="30"/>
          </w:rPr>
        </w:r>
        <w:r>
          <w:rPr>
            <w:rFonts w:eastAsia="宋体"/>
            <w:sz w:val="30"/>
            <w:szCs w:val="30"/>
          </w:rPr>
          <w:fldChar w:fldCharType="end"/>
        </w:r>
      </w:hyperlink>
      <w:r/>
      <w:r/>
    </w:p>
    <w:p>
      <w:pPr>
        <w:pStyle w:val="950"/>
        <w:spacing w:line="600" w:lineRule="exact"/>
        <w:tabs>
          <w:tab w:val="right" w:pos="9402" w:leader="dot"/>
        </w:tabs>
        <w:rPr>
          <w:rFonts w:ascii="宋体" w:hAnsi="宋体" w:eastAsia="宋体"/>
          <w:bCs w:val="0"/>
          <w:caps w:val="0"/>
          <w:sz w:val="30"/>
          <w:szCs w:val="30"/>
        </w:rPr>
      </w:pPr>
      <w:r/>
      <w:hyperlink w:tooltip="#_Toc213847317" w:anchor="_Toc213847317" w:history="1">
        <w:r>
          <w:rPr>
            <w:rStyle w:val="951"/>
            <w:rFonts w:hint="eastAsia" w:ascii="宋体" w:hAnsi="宋体" w:eastAsia="宋体"/>
            <w:color w:val="auto"/>
            <w:sz w:val="30"/>
            <w:szCs w:val="30"/>
          </w:rPr>
          <w:t xml:space="preserve">第五章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r>
        <w:r>
          <w:rPr>
            <w:rFonts w:eastAsia="宋体"/>
            <w:sz w:val="30"/>
            <w:szCs w:val="30"/>
          </w:rPr>
          <w:fldChar w:fldCharType="separate"/>
        </w:r>
        <w:r>
          <w:rPr>
            <w:rStyle w:val="951"/>
            <w:rFonts w:hint="eastAsia" w:ascii="宋体" w:hAnsi="宋体" w:eastAsia="宋体"/>
            <w:color w:val="auto"/>
            <w:sz w:val="30"/>
            <w:szCs w:val="30"/>
          </w:rPr>
          <w:t xml:space="preserve">27</w:t>
        </w:r>
        <w:r>
          <w:rPr>
            <w:rFonts w:eastAsia="宋体"/>
            <w:sz w:val="30"/>
            <w:szCs w:val="30"/>
          </w:rPr>
        </w:r>
        <w:r>
          <w:rPr>
            <w:rFonts w:eastAsia="宋体"/>
            <w:sz w:val="30"/>
            <w:szCs w:val="30"/>
          </w:rPr>
          <w:fldChar w:fldCharType="end"/>
        </w:r>
      </w:hyperlink>
      <w:r/>
      <w:r/>
    </w:p>
    <w:p>
      <w:pPr>
        <w:pStyle w:val="950"/>
        <w:spacing w:line="600" w:lineRule="exact"/>
        <w:tabs>
          <w:tab w:val="right" w:pos="9402" w:leader="dot"/>
        </w:tabs>
        <w:rPr>
          <w:rFonts w:ascii="宋体" w:hAnsi="宋体" w:eastAsia="宋体"/>
          <w:b w:val="0"/>
          <w:bCs w:val="0"/>
          <w:caps w:val="0"/>
          <w:sz w:val="30"/>
          <w:szCs w:val="30"/>
        </w:rPr>
      </w:pPr>
      <w:r/>
      <w:hyperlink w:tooltip="#_Toc213847318" w:anchor="_Toc213847318" w:history="1">
        <w:r>
          <w:rPr>
            <w:rStyle w:val="951"/>
            <w:rFonts w:hint="eastAsia" w:ascii="宋体" w:hAnsi="宋体" w:eastAsia="宋体"/>
            <w:color w:val="auto"/>
            <w:sz w:val="30"/>
            <w:szCs w:val="30"/>
          </w:rPr>
          <w:t xml:space="preserve">第六章　投标文件的组成和格式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r>
        <w:r>
          <w:rPr>
            <w:rFonts w:eastAsia="宋体"/>
            <w:sz w:val="30"/>
            <w:szCs w:val="30"/>
          </w:rPr>
          <w:fldChar w:fldCharType="separate"/>
        </w:r>
        <w:r>
          <w:rPr>
            <w:rStyle w:val="951"/>
            <w:rFonts w:hint="eastAsia" w:ascii="宋体" w:hAnsi="宋体" w:eastAsia="宋体"/>
            <w:color w:val="auto"/>
            <w:sz w:val="30"/>
            <w:szCs w:val="30"/>
          </w:rPr>
          <w:t xml:space="preserve">31</w:t>
        </w:r>
        <w:r>
          <w:rPr>
            <w:rFonts w:eastAsia="宋体"/>
            <w:sz w:val="30"/>
            <w:szCs w:val="30"/>
          </w:rPr>
        </w:r>
        <w:r>
          <w:rPr>
            <w:rFonts w:eastAsia="宋体"/>
            <w:sz w:val="30"/>
            <w:szCs w:val="30"/>
          </w:rPr>
          <w:fldChar w:fldCharType="end"/>
        </w:r>
      </w:hyperlink>
      <w:r/>
      <w:r/>
    </w:p>
    <w:p>
      <w:pPr>
        <w:pStyle w:val="948"/>
        <w:spacing w:before="120" w:after="120" w:line="600" w:lineRule="exact"/>
        <w:sectPr>
          <w:footerReference w:type="even" r:id="rId11"/>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Cs w:val="30"/>
        </w:rPr>
        <w:fldChar w:fldCharType="end"/>
      </w:r>
      <w:bookmarkStart w:id="4" w:name="_Toc166593155"/>
      <w:r/>
      <w:bookmarkStart w:id="5" w:name="_Toc166593357"/>
      <w:r/>
      <w:r/>
    </w:p>
    <w:p>
      <w:pPr>
        <w:pStyle w:val="948"/>
      </w:pPr>
      <w:r/>
      <w:r/>
    </w:p>
    <w:p>
      <w:pPr>
        <w:pStyle w:val="948"/>
      </w:pPr>
      <w:r/>
      <w:bookmarkStart w:id="6" w:name="_Toc213847313"/>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江阴市</w:t>
      </w:r>
      <w:r>
        <w:rPr>
          <w:rFonts w:hint="eastAsia" w:ascii="宋体" w:hAnsi="宋体" w:eastAsia="宋体" w:cs="Times New Roman"/>
          <w:sz w:val="24"/>
          <w:szCs w:val="24"/>
        </w:rPr>
        <w:t xml:space="preserve">璜土中心</w:t>
      </w:r>
      <w:r>
        <w:rPr>
          <w:rFonts w:hint="eastAsia" w:ascii="宋体" w:hAnsi="宋体" w:eastAsia="宋体" w:cs="Times New Roman"/>
          <w:sz w:val="24"/>
          <w:szCs w:val="24"/>
        </w:rPr>
        <w:t xml:space="preserve">幼儿园新园家具采购项目</w:t>
      </w:r>
      <w:r>
        <w:rPr>
          <w:rFonts w:ascii="宋体" w:hAnsi="宋体" w:eastAsia="宋体" w:cs="Times New Roman"/>
          <w:bCs/>
          <w:sz w:val="24"/>
          <w:szCs w:val="24"/>
        </w:rPr>
        <w:t xml:space="preserve">JSZC-320281-JZCG-G2025-0066</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5</w:t>
      </w:r>
      <w:r>
        <w:rPr>
          <w:rFonts w:ascii="宋体" w:hAnsi="宋体" w:eastAsia="宋体" w:cs="Times New Roman"/>
          <w:sz w:val="24"/>
          <w:szCs w:val="24"/>
        </w:rPr>
        <w:t xml:space="preserve">-12</w:t>
      </w:r>
      <w:r>
        <w:rPr>
          <w:rFonts w:ascii="宋体" w:hAnsi="宋体" w:eastAsia="宋体" w:cs="Times New Roman"/>
          <w:sz w:val="24"/>
          <w:szCs w:val="24"/>
        </w:rPr>
        <w:t xml:space="preserve">-</w:t>
      </w:r>
      <w:r>
        <w:rPr>
          <w:rFonts w:hint="eastAsia" w:ascii="宋体" w:hAnsi="宋体" w:eastAsia="宋体" w:cs="Times New Roman"/>
          <w:sz w:val="24"/>
          <w:szCs w:val="24"/>
        </w:rPr>
        <w:t xml:space="preserve">16</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7" w:name="_Toc166593156"/>
      <w:r/>
      <w:bookmarkStart w:id="8"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JSZC-320281-JZCG-G2025-0066</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江阴市</w:t>
      </w:r>
      <w:r>
        <w:rPr>
          <w:rFonts w:hint="eastAsia" w:ascii="宋体" w:hAnsi="宋体" w:eastAsia="宋体" w:cs="Times New Roman"/>
          <w:sz w:val="24"/>
          <w:szCs w:val="24"/>
        </w:rPr>
        <w:t xml:space="preserve">璜土中心</w:t>
      </w:r>
      <w:r>
        <w:rPr>
          <w:rFonts w:hint="eastAsia" w:ascii="宋体" w:hAnsi="宋体" w:eastAsia="宋体" w:cs="Times New Roman"/>
          <w:sz w:val="24"/>
          <w:szCs w:val="24"/>
        </w:rPr>
        <w:t xml:space="preserve">幼儿园新园家具采购项目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298</w:t>
      </w:r>
      <w:r>
        <w:rPr>
          <w:rFonts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rPr>
          <w:rFonts w:hint="eastAsia" w:ascii="宋体" w:hAnsi="宋体" w:eastAsia="宋体" w:cs="Times New Roman"/>
          <w:b/>
          <w:sz w:val="24"/>
          <w:szCs w:val="24"/>
        </w:rPr>
        <w:t xml:space="preserve">285</w:t>
      </w:r>
      <w:r>
        <w:rPr>
          <w:rFonts w:hint="eastAsia" w:ascii="宋体" w:hAnsi="宋体" w:eastAsia="宋体" w:cs="Times New Roman"/>
          <w:b/>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本项目为江阴市</w:t>
      </w:r>
      <w:r>
        <w:rPr>
          <w:rFonts w:hint="eastAsia" w:ascii="宋体" w:hAnsi="宋体" w:eastAsia="宋体" w:cs="Times New Roman"/>
          <w:sz w:val="24"/>
          <w:szCs w:val="24"/>
        </w:rPr>
        <w:t xml:space="preserve">璜</w:t>
      </w:r>
      <w:r>
        <w:rPr>
          <w:rFonts w:hint="eastAsia" w:ascii="宋体" w:hAnsi="宋体" w:eastAsia="宋体" w:cs="Times New Roman"/>
          <w:sz w:val="24"/>
          <w:szCs w:val="24"/>
        </w:rPr>
        <w:t xml:space="preserve">土镇人民政府的江阴市</w:t>
      </w:r>
      <w:r>
        <w:rPr>
          <w:rFonts w:hint="eastAsia" w:ascii="宋体" w:hAnsi="宋体" w:eastAsia="宋体" w:cs="Times New Roman"/>
          <w:sz w:val="24"/>
          <w:szCs w:val="24"/>
        </w:rPr>
        <w:t xml:space="preserve">璜土中心</w:t>
      </w:r>
      <w:r>
        <w:rPr>
          <w:rFonts w:hint="eastAsia" w:ascii="宋体" w:hAnsi="宋体" w:eastAsia="宋体" w:cs="Times New Roman"/>
          <w:sz w:val="24"/>
          <w:szCs w:val="24"/>
        </w:rPr>
        <w:t xml:space="preserve">幼儿园新园家具采购项目。（详见招标文件）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w:t>
      </w:r>
      <w:r>
        <w:rPr>
          <w:rFonts w:hint="eastAsia" w:ascii="宋体" w:hAnsi="宋体" w:eastAsia="宋体" w:cs="Times New Roman"/>
          <w:sz w:val="24"/>
          <w:szCs w:val="24"/>
        </w:rPr>
        <w:t xml:space="preserve">且亲自</w:t>
      </w:r>
      <w:r>
        <w:rPr>
          <w:rFonts w:hint="eastAsia" w:ascii="宋体" w:hAnsi="宋体" w:eastAsia="宋体" w:cs="Times New Roman"/>
          <w:sz w:val="24"/>
          <w:szCs w:val="24"/>
        </w:rPr>
        <w:t xml:space="preserve">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投标人投标产品的制造商须为中小微企业（残疾人福利性单位、监狱企业视同小型、微型企业）：投标人投标产品的制造商如为中小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sz w:val="24"/>
        </w:rPr>
        <w:t xml:space="preserve">无</w:t>
      </w:r>
      <w:r>
        <w:rPr>
          <w:rFonts w:hint="eastAsia" w:ascii="宋体" w:hAnsi="宋体" w:eastAsia="宋体" w:cs="Times New Roman"/>
          <w:sz w:val="24"/>
          <w:szCs w:val="24"/>
        </w:rPr>
        <w:t xml:space="preserve">。</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）平台下载获取。在采购文件有效获取期限内，从江苏省政府采购（苏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5</w:t>
      </w:r>
      <w:r>
        <w:rPr>
          <w:rFonts w:ascii="宋体" w:hAnsi="宋体" w:eastAsia="宋体" w:cs="Times New Roman"/>
          <w:sz w:val="24"/>
          <w:szCs w:val="24"/>
        </w:rPr>
        <w:t xml:space="preserve">-12</w:t>
      </w:r>
      <w:r>
        <w:rPr>
          <w:rFonts w:ascii="宋体" w:hAnsi="宋体" w:eastAsia="宋体" w:cs="Times New Roman"/>
          <w:sz w:val="24"/>
          <w:szCs w:val="24"/>
        </w:rPr>
        <w:t xml:space="preserve">-16</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w:t>
      </w:r>
      <w:r>
        <w:rPr>
          <w:rFonts w:ascii="宋体" w:hAnsi="宋体" w:eastAsia="宋体" w:cs="Times New Roman"/>
          <w:sz w:val="24"/>
          <w:szCs w:val="24"/>
        </w:rPr>
        <w:t xml:space="preserve">（北京时间）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）平台”（以下简称“苏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w:t>
      </w:r>
      <w:r>
        <w:rPr>
          <w:rFonts w:hint="eastAsia" w:ascii="宋体" w:hAnsi="宋体" w:eastAsia="宋体" w:cs="Times New Roman"/>
          <w:sz w:val="24"/>
          <w:szCs w:val="24"/>
        </w:rPr>
        <w:t xml:space="preserve">滨湖区</w:t>
      </w:r>
      <w:r>
        <w:rPr>
          <w:rFonts w:hint="eastAsia" w:ascii="宋体" w:hAnsi="宋体" w:eastAsia="宋体" w:cs="Times New Roman"/>
          <w:sz w:val="24"/>
          <w:szCs w:val="24"/>
        </w:rPr>
        <w:t xml:space="preserve">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注册的</w:t>
      </w:r>
      <w:r>
        <w:rPr>
          <w:rFonts w:hint="eastAsia" w:ascii="宋体" w:hAnsi="宋体" w:eastAsia="宋体" w:cs="Times New Roman"/>
          <w:sz w:val="24"/>
          <w:szCs w:val="24"/>
        </w:rPr>
        <w:t xml:space="preserve">供应商方可</w:t>
      </w:r>
      <w:r>
        <w:rPr>
          <w:rFonts w:hint="eastAsia" w:ascii="宋体" w:hAnsi="宋体" w:eastAsia="宋体" w:cs="Times New Roman"/>
          <w:sz w:val="24"/>
          <w:szCs w:val="24"/>
        </w:rPr>
        <w:t xml:space="preserve">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中进行CA绑定。登录“江苏省政府采购（苏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”系统供应商操作手册》（以下简称《操作手册》），下载地址：江阴市公共资源交易中心网站——资料下载（供应商）——“苏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w:t>
      </w:r>
      <w:r>
        <w:rPr>
          <w:rFonts w:hint="eastAsia" w:ascii="宋体" w:hAnsi="宋体" w:eastAsia="宋体" w:cs="Times New Roman"/>
          <w:sz w:val="24"/>
          <w:szCs w:val="24"/>
        </w:rPr>
        <w:t xml:space="preserve">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平台中免费下载文件（“项目参与”找到需要获取采购文件的项目，点击“我要参与”——“参与投标”——“下载文件”），完成项目参与，将苏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平台中下载的采购文件（后缀名为“.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”）导入到“政府采购客户端”，离线按要求编制并加密响应文件（使用“CA数字证书”），导出加密的响应文件（后缀名为zip，不得超过</w:t>
      </w:r>
      <w:r>
        <w:rPr>
          <w:rFonts w:hint="eastAsia" w:ascii="宋体" w:hAnsi="宋体" w:eastAsia="宋体" w:cs="Times New Roman"/>
          <w:sz w:val="24"/>
          <w:szCs w:val="24"/>
        </w:rPr>
        <w:t xml:space="preserve">150M）并在苏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hint="eastAsia" w:ascii="宋体" w:hAnsi="宋体" w:eastAsia="宋体" w:cs="Times New Roman"/>
          <w:sz w:val="24"/>
          <w:szCs w:val="24"/>
        </w:rPr>
        <w:t xml:space="preserve">上传该加密</w:t>
      </w:r>
      <w:r>
        <w:rPr>
          <w:rFonts w:hint="eastAsia" w:ascii="宋体" w:hAnsi="宋体" w:eastAsia="宋体" w:cs="Times New Roman"/>
          <w:sz w:val="24"/>
          <w:szCs w:val="24"/>
        </w:rPr>
        <w:t xml:space="preserve">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平台提交数据电文形式的响应文件，通过苏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平台进入“开标大厅”开启（解密）响应文件。推荐</w:t>
      </w:r>
      <w:r>
        <w:rPr>
          <w:rFonts w:hint="eastAsia" w:ascii="宋体" w:hAnsi="宋体" w:eastAsia="宋体" w:cs="Times New Roman"/>
          <w:sz w:val="24"/>
          <w:szCs w:val="24"/>
        </w:rPr>
        <w:t xml:space="preserve">使用谷歌浏览器</w:t>
      </w:r>
      <w:r>
        <w:rPr>
          <w:rFonts w:hint="eastAsia" w:ascii="宋体" w:hAnsi="宋体" w:eastAsia="宋体" w:cs="Times New Roman"/>
          <w:sz w:val="24"/>
          <w:szCs w:val="24"/>
        </w:rPr>
        <w:t xml:space="preserve">，参与苏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w:t>
      </w:r>
      <w:r>
        <w:rPr>
          <w:rFonts w:hint="eastAsia" w:ascii="宋体" w:hAnsi="宋体" w:eastAsia="宋体" w:cs="Times New Roman"/>
          <w:sz w:val="24"/>
          <w:szCs w:val="24"/>
        </w:rPr>
        <w:t xml:space="preserve">璜</w:t>
      </w:r>
      <w:r>
        <w:rPr>
          <w:rFonts w:hint="eastAsia" w:ascii="宋体" w:hAnsi="宋体" w:eastAsia="宋体" w:cs="Times New Roman"/>
          <w:sz w:val="24"/>
          <w:szCs w:val="24"/>
        </w:rPr>
        <w:t xml:space="preserve">土镇人民政府</w:t>
      </w:r>
      <w:r/>
    </w:p>
    <w:p>
      <w:pPr>
        <w:ind w:firstLine="480"/>
        <w:spacing w:line="400" w:lineRule="exact"/>
        <w:rPr>
          <w:rFonts w:ascii="宋体" w:hAnsi="宋体" w:eastAsia="宋体" w:cs="宋体"/>
          <w:sz w:val="24"/>
          <w:szCs w:val="24"/>
        </w:rPr>
      </w:pPr>
      <w:r>
        <w:rPr>
          <w:rFonts w:ascii="宋体" w:hAnsi="宋体" w:eastAsia="宋体" w:cs="Times New Roman"/>
          <w:sz w:val="24"/>
          <w:szCs w:val="24"/>
        </w:rPr>
        <w:t xml:space="preserve">单位地址：</w:t>
      </w:r>
      <w:r>
        <w:rPr>
          <w:rFonts w:hint="eastAsia" w:ascii="宋体" w:hAnsi="宋体" w:eastAsia="宋体" w:cs="宋体"/>
          <w:sz w:val="24"/>
          <w:szCs w:val="24"/>
        </w:rPr>
        <w:t xml:space="preserve">江阴市</w:t>
      </w:r>
      <w:r>
        <w:rPr>
          <w:rFonts w:hint="eastAsia" w:ascii="宋体" w:hAnsi="宋体" w:eastAsia="宋体" w:cs="宋体"/>
          <w:sz w:val="24"/>
          <w:szCs w:val="24"/>
        </w:rPr>
        <w:t xml:space="preserve">璜</w:t>
      </w:r>
      <w:r>
        <w:rPr>
          <w:rFonts w:hint="eastAsia" w:ascii="宋体" w:hAnsi="宋体" w:eastAsia="宋体" w:cs="宋体"/>
          <w:sz w:val="24"/>
          <w:szCs w:val="24"/>
        </w:rPr>
        <w:t xml:space="preserve">土镇黄金路69号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金先生、</w:t>
      </w:r>
      <w:r>
        <w:rPr>
          <w:rFonts w:hint="eastAsia" w:ascii="宋体" w:hAnsi="宋体" w:eastAsia="宋体" w:cs="Times New Roman"/>
          <w:sz w:val="24"/>
          <w:szCs w:val="24"/>
        </w:rPr>
        <w:t xml:space="preserve">孙女士</w:t>
      </w:r>
      <w:r/>
    </w:p>
    <w:p>
      <w:pPr>
        <w:ind w:firstLine="480"/>
        <w:spacing w:line="400" w:lineRule="exact"/>
        <w:rPr>
          <w:rFonts w:ascii="宋体" w:hAnsi="宋体" w:eastAsia="宋体" w:cs="宋体"/>
          <w:bCs/>
          <w:sz w:val="24"/>
          <w:szCs w:val="24"/>
        </w:rPr>
      </w:pPr>
      <w:r>
        <w:rPr>
          <w:rFonts w:ascii="宋体" w:hAnsi="宋体" w:eastAsia="宋体" w:cs="Times New Roman"/>
          <w:sz w:val="24"/>
          <w:szCs w:val="24"/>
        </w:rPr>
        <w:t xml:space="preserve">联系电话：</w:t>
      </w:r>
      <w:r>
        <w:rPr>
          <w:rFonts w:hint="eastAsia" w:ascii="宋体" w:hAnsi="宋体" w:eastAsia="宋体" w:cs="Times New Roman"/>
          <w:sz w:val="24"/>
          <w:szCs w:val="24"/>
        </w:rPr>
        <w:t xml:space="preserve">0510-86651337、0510-86651602</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张先生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张先生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948"/>
      </w:pPr>
      <w:r/>
      <w:r/>
    </w:p>
    <w:p>
      <w:pPr>
        <w:pStyle w:val="948"/>
      </w:pPr>
      <w:r/>
      <w:bookmarkStart w:id="9" w:name="_Toc213847314"/>
      <w:r>
        <w:rPr>
          <w:rFonts w:hint="eastAsia"/>
        </w:rPr>
        <w:t xml:space="preserve">第二章　</w:t>
      </w:r>
      <w:r>
        <w:rPr>
          <w:rFonts w:hint="eastAsia" w:hAnsi="宋体"/>
        </w:rPr>
        <w:t xml:space="preserve">投标人</w:t>
      </w:r>
      <w:r>
        <w:rPr>
          <w:rFonts w:hint="eastAsia"/>
        </w:rPr>
        <w:t xml:space="preserve">须知</w:t>
      </w:r>
      <w:bookmarkEnd w:id="7"/>
      <w:r/>
      <w:bookmarkEnd w:id="8"/>
      <w:r/>
      <w:bookmarkEnd w:id="9"/>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w:t>
      </w:r>
      <w:r>
        <w:rPr>
          <w:rFonts w:ascii="宋体" w:hAnsi="宋体" w:eastAsia="宋体" w:cs="Times New Roman"/>
          <w:sz w:val="24"/>
          <w:szCs w:val="24"/>
        </w:rPr>
        <w:t xml:space="preserve">采云</w:t>
      </w:r>
      <w:r>
        <w:rPr>
          <w:rFonts w:ascii="宋体" w:hAnsi="宋体" w:eastAsia="宋体" w:cs="Times New Roman"/>
          <w:sz w:val="24"/>
          <w:szCs w:val="24"/>
        </w:rPr>
        <w:t xml:space="preserve">）平台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报价明细表；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详细配置一览表；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6</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w:t>
      </w:r>
      <w:r>
        <w:rPr>
          <w:rFonts w:hint="eastAsia" w:ascii="宋体" w:hAnsi="宋体" w:eastAsia="宋体" w:cs="Times New Roman"/>
          <w:b/>
          <w:bCs/>
          <w:sz w:val="24"/>
          <w:szCs w:val="24"/>
        </w:rPr>
        <w:t xml:space="preserve">且亲自</w:t>
      </w:r>
      <w:r>
        <w:rPr>
          <w:rFonts w:hint="eastAsia" w:ascii="宋体" w:hAnsi="宋体" w:eastAsia="宋体" w:cs="Times New Roman"/>
          <w:b/>
          <w:bCs/>
          <w:sz w:val="24"/>
          <w:szCs w:val="24"/>
        </w:rPr>
        <w:t xml:space="preserve">参与的必须提供《法定代表人亲自投标声明》）</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文件3：</w:t>
      </w:r>
      <w:r>
        <w:rPr>
          <w:rFonts w:hint="eastAsia" w:ascii="宋体" w:hAnsi="宋体"/>
          <w:b/>
          <w:bCs/>
          <w:sz w:val="24"/>
        </w:rPr>
        <w:t xml:space="preserve">投标人投标产品的制造商如为中小</w:t>
      </w:r>
      <w:r>
        <w:rPr>
          <w:rFonts w:hint="eastAsia" w:ascii="宋体" w:hAnsi="宋体"/>
          <w:b/>
          <w:bCs/>
          <w:sz w:val="24"/>
        </w:rPr>
        <w:t xml:space="preserve">微企业</w:t>
      </w:r>
      <w:r>
        <w:rPr>
          <w:rFonts w:hint="eastAsia" w:ascii="宋体" w:hAnsi="宋体"/>
          <w:b/>
          <w:bCs/>
          <w:sz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w:t>
      </w:r>
      <w:r>
        <w:rPr>
          <w:rFonts w:hint="eastAsia" w:ascii="宋体" w:hAnsi="宋体" w:eastAsia="宋体" w:cs="Times New Roman"/>
          <w:sz w:val="24"/>
          <w:szCs w:val="28"/>
        </w:rPr>
        <w:t xml:space="preserve">7</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③</w:t>
      </w:r>
      <w:r>
        <w:rPr>
          <w:rFonts w:hint="eastAsia" w:ascii="宋体" w:hAnsi="宋体" w:eastAsia="宋体" w:cs="Times New Roman"/>
          <w:sz w:val="24"/>
          <w:szCs w:val="24"/>
        </w:rPr>
        <w:t xml:space="preserve">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④</w:t>
      </w:r>
      <w:r>
        <w:rPr>
          <w:rFonts w:hint="eastAsia" w:ascii="宋体" w:hAnsi="宋体" w:eastAsia="宋体" w:cs="Times New Roman"/>
          <w:sz w:val="24"/>
          <w:szCs w:val="24"/>
        </w:rPr>
        <w:t xml:space="preserve">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⑤</w:t>
      </w:r>
      <w:r>
        <w:rPr>
          <w:rFonts w:hint="eastAsia" w:ascii="宋体" w:hAnsi="宋体" w:eastAsia="宋体" w:cs="Times New Roman"/>
          <w:sz w:val="24"/>
          <w:szCs w:val="24"/>
        </w:rPr>
        <w:t xml:space="preserve">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w:t>
      </w:r>
      <w:r>
        <w:rPr>
          <w:rFonts w:hint="eastAsia" w:ascii="宋体" w:hAnsi="宋体" w:eastAsia="宋体" w:cs="Times New Roman"/>
          <w:sz w:val="24"/>
          <w:szCs w:val="24"/>
        </w:rPr>
        <w:t xml:space="preserve">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ascii="宋体" w:hAnsi="宋体" w:eastAsia="宋体" w:cs="Times New Roman"/>
          <w:sz w:val="24"/>
          <w:szCs w:val="24"/>
        </w:rPr>
        <w:t xml:space="preserve">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w:t>
      </w:r>
      <w:r>
        <w:rPr>
          <w:rFonts w:ascii="宋体" w:hAnsi="宋体" w:eastAsia="宋体" w:cs="Times New Roman"/>
          <w:sz w:val="24"/>
          <w:szCs w:val="24"/>
        </w:rPr>
        <w:t xml:space="preserve">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w:t>
      </w:r>
      <w:r>
        <w:rPr>
          <w:rFonts w:ascii="宋体" w:hAnsi="宋体" w:eastAsia="宋体" w:cs="宋体"/>
          <w:sz w:val="24"/>
          <w:szCs w:val="24"/>
        </w:rPr>
        <w:t xml:space="preserve">远程不</w:t>
      </w:r>
      <w:r>
        <w:rPr>
          <w:rFonts w:ascii="宋体" w:hAnsi="宋体" w:eastAsia="宋体" w:cs="宋体"/>
          <w:sz w:val="24"/>
          <w:szCs w:val="24"/>
        </w:rPr>
        <w:t xml:space="preserve">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平台，在响应文件提交截止时间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w:t>
      </w:r>
      <w:r>
        <w:rPr>
          <w:rFonts w:hint="eastAsia" w:ascii="宋体" w:hAnsi="宋体" w:eastAsia="宋体" w:cs="宋体"/>
          <w:sz w:val="24"/>
          <w:szCs w:val="24"/>
        </w:rPr>
        <w:t xml:space="preserve">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平台主持，邀请供应商参加。响应文件开启时，苏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平台自动提取所有响应文件。响应文件开启解密之后30分钟内，供应商通过苏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w:t>
      </w:r>
      <w:r>
        <w:rPr>
          <w:rFonts w:hint="eastAsia" w:ascii="宋体" w:hAnsi="宋体" w:eastAsia="宋体" w:cs="Times New Roman"/>
          <w:bCs/>
          <w:sz w:val="24"/>
          <w:szCs w:val="24"/>
        </w:rPr>
        <w:t xml:space="preserve">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w:t>
      </w:r>
      <w:r>
        <w:rPr>
          <w:rFonts w:hint="eastAsia" w:ascii="宋体" w:hAnsi="宋体" w:eastAsia="宋体" w:cs="Times New Roman"/>
          <w:bCs/>
          <w:sz w:val="24"/>
          <w:szCs w:val="24"/>
        </w:rPr>
        <w:t xml:space="preserve">、不响应招标文件中的付款方式的；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w:t>
      </w:r>
      <w:r>
        <w:rPr>
          <w:rFonts w:hint="eastAsia" w:ascii="宋体" w:hAnsi="宋体" w:eastAsia="宋体" w:cs="Times New Roman"/>
          <w:b/>
          <w:bCs/>
          <w:sz w:val="24"/>
          <w:szCs w:val="24"/>
        </w:rPr>
        <w:t xml:space="preserve">中华人民共和国</w:t>
      </w:r>
      <w:r>
        <w:rPr>
          <w:rFonts w:hint="eastAsia" w:ascii="宋体" w:hAnsi="宋体" w:eastAsia="宋体" w:cs="Times New Roman"/>
          <w:b/>
          <w:bCs/>
          <w:sz w:val="24"/>
          <w:szCs w:val="24"/>
        </w:rPr>
        <w:t xml:space="preserve">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w:t>
      </w: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w:t>
      </w:r>
      <w:r>
        <w:rPr>
          <w:rFonts w:hint="eastAsia" w:ascii="宋体" w:hAnsi="宋体" w:eastAsia="宋体" w:cs="Times New Roman"/>
          <w:sz w:val="24"/>
          <w:szCs w:val="24"/>
        </w:rPr>
        <w:t xml:space="preserve">信</w:t>
      </w:r>
      <w:r>
        <w:rPr>
          <w:rFonts w:hint="eastAsia" w:ascii="宋体" w:hAnsi="宋体" w:eastAsia="宋体" w:cs="Times New Roman"/>
          <w:sz w:val="24"/>
          <w:szCs w:val="24"/>
        </w:rPr>
        <w:t xml:space="preserve">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a</w:t>
      </w:r>
      <w:r>
        <w:rPr>
          <w:rFonts w:hint="eastAsia" w:ascii="宋体" w:hAnsi="宋体" w:eastAsia="宋体" w:cs="Times New Roman"/>
          <w:sz w:val="24"/>
          <w:szCs w:val="24"/>
        </w:rPr>
        <w:t xml:space="preserve">）投标文件载明的采购项目的完成期限超过招标文件规定的期限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b</w:t>
      </w:r>
      <w:r>
        <w:rPr>
          <w:rFonts w:hint="eastAsia" w:ascii="宋体" w:hAnsi="宋体" w:eastAsia="宋体" w:cs="Times New Roman"/>
          <w:sz w:val="24"/>
          <w:szCs w:val="24"/>
        </w:rPr>
        <w:t xml:space="preserve">）投标文件严重背离招标文件中确定的技术功能要求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c</w:t>
      </w:r>
      <w:r>
        <w:rPr>
          <w:rFonts w:hint="eastAsia" w:ascii="宋体" w:hAnsi="宋体" w:eastAsia="宋体" w:cs="Times New Roman"/>
          <w:sz w:val="24"/>
          <w:szCs w:val="24"/>
        </w:rPr>
        <w:t xml:space="preserve">）投标文件附有采购人不能接受的商务条件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d</w:t>
      </w:r>
      <w:r>
        <w:rPr>
          <w:rFonts w:hint="eastAsia" w:ascii="宋体" w:hAnsi="宋体" w:eastAsia="宋体" w:cs="Times New Roman"/>
          <w:sz w:val="24"/>
          <w:szCs w:val="24"/>
        </w:rPr>
        <w:t xml:space="preserve">）不符合招标文件中规定的其他实质性要求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w:t>
      </w:r>
      <w:r>
        <w:rPr>
          <w:rFonts w:hint="eastAsia" w:ascii="宋体" w:hAnsi="宋体" w:eastAsia="宋体" w:cs="Times New Roman"/>
          <w:sz w:val="24"/>
          <w:szCs w:val="24"/>
        </w:rPr>
        <w:t xml:space="preserve">响应性只根据</w:t>
      </w:r>
      <w:r>
        <w:rPr>
          <w:rFonts w:hint="eastAsia" w:ascii="宋体" w:hAnsi="宋体" w:eastAsia="宋体" w:cs="Times New Roman"/>
          <w:sz w:val="24"/>
          <w:szCs w:val="24"/>
        </w:rPr>
        <w:t xml:space="preserve">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具体办法和标准详见招标文件第</w:t>
      </w:r>
      <w:r>
        <w:rPr>
          <w:rFonts w:hint="eastAsia" w:ascii="宋体" w:hAnsi="宋体" w:eastAsia="宋体" w:cs="Times New Roman"/>
          <w:sz w:val="24"/>
          <w:szCs w:val="24"/>
        </w:rPr>
        <w:t xml:space="preserve">四</w:t>
      </w:r>
      <w:r>
        <w:rPr>
          <w:rFonts w:hint="eastAsia" w:ascii="宋体" w:hAnsi="宋体" w:eastAsia="宋体" w:cs="Times New Roman"/>
          <w:sz w:val="24"/>
          <w:szCs w:val="24"/>
        </w:rPr>
        <w:t xml:space="preserve">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w:t>
      </w:r>
      <w:r>
        <w:rPr>
          <w:rFonts w:ascii="宋体" w:hAnsi="宋体" w:eastAsia="宋体" w:cs="Times New Roman"/>
          <w:sz w:val="24"/>
          <w:szCs w:val="24"/>
        </w:rPr>
        <w:t xml:space="preserve">作出</w:t>
      </w:r>
      <w:r>
        <w:rPr>
          <w:rFonts w:ascii="宋体" w:hAnsi="宋体" w:eastAsia="宋体" w:cs="Times New Roman"/>
          <w:sz w:val="24"/>
          <w:szCs w:val="24"/>
        </w:rPr>
        <w:t xml:space="preserve">必要的澄清、说明或者补正。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投标人的澄清、说明或者补正应当采用书面形式，并加盖公章，或者由法定代表人或其授权</w:t>
      </w:r>
      <w:r>
        <w:rPr>
          <w:rFonts w:hint="eastAsia" w:ascii="宋体" w:hAnsi="宋体" w:eastAsia="宋体" w:cs="Times New Roman"/>
          <w:sz w:val="24"/>
          <w:szCs w:val="24"/>
        </w:rPr>
        <w:t xml:space="preserve">委托人</w:t>
      </w:r>
      <w:r>
        <w:rPr>
          <w:rFonts w:ascii="宋体" w:hAnsi="宋体" w:eastAsia="宋体" w:cs="Times New Roman"/>
          <w:sz w:val="24"/>
          <w:szCs w:val="24"/>
        </w:rPr>
        <w:t xml:space="preserve">签字。投标人的澄清、说明或者补正不得超出投标文件的范围或者改变投标文件的实质性内容。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（a）投标（响应）报价低于采购项目预算50%的，即投标（响应）报价＜采购项目预算×50%；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（b）投标（响应）报价低于采购项目最高限价45%的，即投标（响应）报价＜采购项目最高限价×45%；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（c）评标（评审）委员会认定的供应商报价过低、有可能影响产品质量或者不能诚信履约的其他情形。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（2）启动异常低价投标（响应）审查后，评标（评审）委员会应当要求相关供应商在评标现场合理的时间内,提供项目具体成本测算等与报价合理性相关的书面说明及相关证明材料，对投标（响应）价格</w:t>
      </w:r>
      <w:r>
        <w:rPr>
          <w:rFonts w:hint="eastAsia" w:ascii="宋体" w:hAnsi="宋体" w:eastAsia="宋体" w:cs="Times New Roman"/>
          <w:b/>
          <w:sz w:val="24"/>
          <w:szCs w:val="24"/>
        </w:rPr>
        <w:t xml:space="preserve">作出</w:t>
      </w:r>
      <w:r>
        <w:rPr>
          <w:rFonts w:hint="eastAsia" w:ascii="宋体" w:hAnsi="宋体" w:eastAsia="宋体" w:cs="Times New Roman"/>
          <w:b/>
          <w:sz w:val="24"/>
          <w:szCs w:val="24"/>
        </w:rPr>
        <w:t xml:space="preserve">解释，由评标（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评审）委员会应当将其作为无效投标（响应）处理。审查相关情况应当在评标（评审）报告中进行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w:t>
      </w:r>
      <w:r>
        <w:rPr>
          <w:rFonts w:hint="eastAsia" w:ascii="宋体" w:hAnsi="宋体" w:eastAsia="宋体" w:cs="Times New Roman"/>
          <w:sz w:val="24"/>
          <w:szCs w:val="24"/>
        </w:rPr>
        <w:t xml:space="preserve">，采购人确定为中标单位</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w:t>
      </w:r>
      <w:r>
        <w:rPr>
          <w:rFonts w:hint="eastAsia" w:ascii="宋体" w:hAnsi="宋体" w:eastAsia="宋体" w:cs="Times New Roman"/>
          <w:sz w:val="24"/>
          <w:szCs w:val="24"/>
        </w:rPr>
        <w:t xml:space="preserve">质疑按</w:t>
      </w:r>
      <w:r>
        <w:rPr>
          <w:rFonts w:hint="eastAsia" w:ascii="宋体" w:hAnsi="宋体" w:eastAsia="宋体" w:cs="Times New Roman"/>
          <w:sz w:val="24"/>
          <w:szCs w:val="24"/>
        </w:rPr>
        <w:t xml:space="preserve">《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w:t>
      </w:r>
      <w:r>
        <w:rPr>
          <w:rFonts w:hint="eastAsia" w:ascii="宋体" w:hAnsi="宋体" w:eastAsia="宋体" w:cs="Times New Roman"/>
          <w:sz w:val="24"/>
          <w:szCs w:val="24"/>
        </w:rPr>
        <w:t xml:space="preserve">函应当</w:t>
      </w:r>
      <w:r>
        <w:rPr>
          <w:rFonts w:hint="eastAsia" w:ascii="宋体" w:hAnsi="宋体" w:eastAsia="宋体" w:cs="Times New Roman"/>
          <w:sz w:val="24"/>
          <w:szCs w:val="24"/>
        </w:rPr>
        <w:t xml:space="preserve">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w:t>
      </w:r>
      <w:r>
        <w:rPr>
          <w:rFonts w:hint="eastAsia" w:ascii="宋体" w:hAnsi="宋体" w:eastAsia="宋体" w:cs="Times New Roman"/>
          <w:sz w:val="24"/>
          <w:szCs w:val="24"/>
        </w:rPr>
        <w:t xml:space="preserve">式参加</w:t>
      </w:r>
      <w:r>
        <w:rPr>
          <w:rFonts w:hint="eastAsia" w:ascii="宋体" w:hAnsi="宋体" w:eastAsia="宋体" w:cs="Times New Roman"/>
          <w:sz w:val="24"/>
          <w:szCs w:val="24"/>
        </w:rPr>
        <w:t xml:space="preserve">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w:t>
      </w:r>
      <w:r>
        <w:rPr>
          <w:rFonts w:hint="eastAsia" w:ascii="宋体" w:hAnsi="宋体" w:eastAsia="宋体" w:cs="Times New Roman"/>
          <w:b/>
          <w:sz w:val="24"/>
          <w:szCs w:val="24"/>
        </w:rPr>
        <w:t xml:space="preserve">配合</w:t>
      </w:r>
      <w:r>
        <w:rPr>
          <w:rFonts w:hint="eastAsia" w:ascii="宋体" w:hAnsi="宋体" w:eastAsia="宋体" w:cs="Times New Roman"/>
          <w:b/>
          <w:sz w:val="24"/>
          <w:szCs w:val="24"/>
        </w:rPr>
        <w:t xml:space="preserve">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采购人收件人：金先生、孙女士  收件地址：江阴市</w:t>
      </w:r>
      <w:r>
        <w:rPr>
          <w:rFonts w:hint="eastAsia" w:ascii="宋体" w:hAnsi="宋体" w:eastAsia="宋体" w:cs="Times New Roman"/>
          <w:sz w:val="24"/>
          <w:szCs w:val="24"/>
          <w:u w:val="single"/>
        </w:rPr>
        <w:t xml:space="preserve">璜</w:t>
      </w:r>
      <w:r>
        <w:rPr>
          <w:rFonts w:hint="eastAsia" w:ascii="宋体" w:hAnsi="宋体" w:eastAsia="宋体" w:cs="Times New Roman"/>
          <w:sz w:val="24"/>
          <w:szCs w:val="24"/>
          <w:u w:val="single"/>
        </w:rPr>
        <w:t xml:space="preserve">土镇黄金南路41号  收件电话：0510-86651337、0510-86651602</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收件地址：江阴市长江路188号江阴市政务服务中心619、621室</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”系统中本项目《投标供应商确认函》），且采购人、采购中心有权向“苏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”系统平台方进行核实。</w:t>
      </w:r>
      <w:r>
        <w:rPr>
          <w:rFonts w:hint="eastAsia" w:ascii="宋体" w:hAnsi="宋体" w:eastAsia="宋体" w:cs="Times New Roman"/>
          <w:sz w:val="24"/>
          <w:szCs w:val="24"/>
        </w:rPr>
        <w:t xml:space="preserve">对采购文件提出质疑时，以非书面形式、属于对采购文件解</w:t>
      </w:r>
      <w:r>
        <w:rPr>
          <w:rFonts w:hint="eastAsia" w:ascii="宋体" w:hAnsi="宋体" w:eastAsia="宋体" w:cs="Times New Roman"/>
          <w:sz w:val="24"/>
          <w:szCs w:val="24"/>
        </w:rPr>
        <w:t xml:space="preserve">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w:t>
      </w:r>
      <w:r>
        <w:rPr>
          <w:rFonts w:hint="eastAsia" w:ascii="宋体" w:hAnsi="宋体" w:eastAsia="宋体" w:cs="Times New Roman"/>
          <w:sz w:val="24"/>
          <w:szCs w:val="24"/>
        </w:rPr>
        <w:t xml:space="preserve">有倾</w:t>
      </w:r>
      <w:r>
        <w:rPr>
          <w:rFonts w:hint="eastAsia" w:ascii="宋体" w:hAnsi="宋体" w:eastAsia="宋体" w:cs="Times New Roman"/>
          <w:sz w:val="24"/>
          <w:szCs w:val="24"/>
        </w:rPr>
        <w:t xml:space="preserve">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w:t>
      </w:r>
      <w:r>
        <w:rPr>
          <w:rFonts w:hint="eastAsia" w:ascii="宋体" w:hAnsi="宋体" w:eastAsia="宋体" w:cs="Times New Roman"/>
          <w:sz w:val="24"/>
          <w:szCs w:val="24"/>
        </w:rPr>
        <w:t xml:space="preserve">分之十</w:t>
      </w:r>
      <w:r>
        <w:rPr>
          <w:rFonts w:hint="eastAsia" w:ascii="宋体" w:hAnsi="宋体" w:eastAsia="宋体" w:cs="Times New Roman"/>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w:t>
      </w:r>
      <w:r>
        <w:rPr>
          <w:rFonts w:hint="eastAsia" w:ascii="宋体" w:hAnsi="宋体" w:eastAsia="宋体" w:cs="Times New Roman"/>
          <w:sz w:val="24"/>
          <w:szCs w:val="24"/>
        </w:rPr>
        <w:t xml:space="preserve">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w:t>
      </w:r>
      <w:r>
        <w:rPr>
          <w:rFonts w:hint="eastAsia" w:ascii="宋体" w:hAnsi="宋体" w:eastAsia="宋体" w:cs="Times New Roman"/>
          <w:sz w:val="24"/>
          <w:szCs w:val="24"/>
        </w:rPr>
        <w:t xml:space="preserve">按照采购合同约定</w:t>
      </w:r>
      <w:r>
        <w:rPr>
          <w:rFonts w:hint="eastAsia" w:ascii="宋体" w:hAnsi="宋体" w:eastAsia="宋体" w:cs="Times New Roman"/>
          <w:sz w:val="24"/>
          <w:szCs w:val="24"/>
        </w:rPr>
        <w:t xml:space="preserve">及时退还履约保证金，不计利息。</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6、江阴市政府采购中心监督合同的履行，协调和处理履约过程中的问题，同时对售后</w:t>
      </w:r>
      <w:r>
        <w:rPr>
          <w:rFonts w:hint="eastAsia" w:ascii="宋体" w:hAnsi="宋体" w:eastAsia="宋体" w:cs="Times New Roman"/>
          <w:bCs/>
          <w:sz w:val="24"/>
          <w:szCs w:val="24"/>
        </w:rPr>
        <w:t xml:space="preserve">服务进行评</w:t>
      </w:r>
      <w:r>
        <w:rPr>
          <w:rFonts w:hint="eastAsia" w:ascii="宋体" w:hAnsi="宋体" w:eastAsia="宋体" w:cs="Times New Roman"/>
          <w:sz w:val="24"/>
          <w:szCs w:val="24"/>
        </w:rPr>
        <w:t xml:space="preserve">价。中标方未履行招标文件、投标文件和合同规定的义务，政府采购中心将根据具体情况提请政府采购管理部门</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相应处理。不可抗力除外。</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、本项目中如有涉及数据库、操作系统、通用服务器、工作站、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体式计算机、便携式计算机、台式计算机等七种软硬件的，供应商不得违反财政部、工信部共同发布数据库、操作系统、通用服务器、工作站、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体式计算机、便携式计算机、台式计算机等七种软硬件的需求标准。《需求标准》详见财库〔2023〕29号、30号、31号、32号、33号、34号、</w:t>
      </w:r>
      <w:r>
        <w:rPr>
          <w:rFonts w:hint="eastAsia" w:ascii="宋体" w:hAnsi="宋体" w:eastAsia="宋体" w:cs="Times New Roman"/>
          <w:sz w:val="24"/>
          <w:szCs w:val="24"/>
        </w:rPr>
        <w:t xml:space="preserve">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w:t>
      </w:r>
      <w:r>
        <w:rPr>
          <w:rFonts w:hint="eastAsia" w:ascii="宋体" w:hAnsi="宋体" w:eastAsia="宋体" w:cs="Times New Roman"/>
          <w:sz w:val="24"/>
          <w:szCs w:val="24"/>
        </w:rPr>
        <w:t xml:space="preserve">商履行</w:t>
      </w:r>
      <w:r>
        <w:rPr>
          <w:rFonts w:hint="eastAsia" w:ascii="宋体" w:hAnsi="宋体" w:eastAsia="宋体" w:cs="Times New Roman"/>
          <w:sz w:val="24"/>
          <w:szCs w:val="24"/>
        </w:rPr>
        <w:t xml:space="preserve">合同义务的担保或保险。如中标、成交供应</w:t>
      </w:r>
      <w:r>
        <w:rPr>
          <w:rFonts w:hint="eastAsia" w:ascii="宋体" w:hAnsi="宋体" w:eastAsia="宋体" w:cs="Times New Roman"/>
          <w:sz w:val="24"/>
          <w:szCs w:val="24"/>
        </w:rPr>
        <w:t xml:space="preserve">商未能</w:t>
      </w:r>
      <w:r>
        <w:rPr>
          <w:rFonts w:hint="eastAsia" w:ascii="宋体" w:hAnsi="宋体" w:eastAsia="宋体" w:cs="Times New Roman"/>
          <w:sz w:val="24"/>
          <w:szCs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w:t>
      </w:r>
      <w:r>
        <w:rPr>
          <w:rFonts w:ascii="宋体" w:hAnsi="宋体" w:eastAsia="宋体" w:cs="Times New Roman"/>
          <w:sz w:val="24"/>
          <w:szCs w:val="24"/>
        </w:rPr>
        <w:t xml:space="preserve">按锡财购</w:t>
      </w:r>
      <w:r>
        <w:rPr>
          <w:rFonts w:ascii="宋体" w:hAnsi="宋体" w:eastAsia="宋体" w:cs="Times New Roman"/>
          <w:sz w:val="24"/>
          <w:szCs w:val="24"/>
        </w:rPr>
        <w:t xml:space="preserve">【2020】17号文件执行。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eastAsia="宋体" w:cs="Times New Roman"/>
          <w:sz w:val="24"/>
          <w:szCs w:val="24"/>
        </w:rPr>
        <w:t xml:space="preserve">做好预授信</w:t>
      </w:r>
      <w:r>
        <w:rPr>
          <w:rFonts w:ascii="宋体" w:hAnsi="宋体" w:eastAsia="宋体" w:cs="Times New Roman"/>
          <w:sz w:val="24"/>
          <w:szCs w:val="24"/>
        </w:rPr>
        <w:t xml:space="preserve">。双方达成融资意向后签订融资协议，确定融资成交信息并约定融资回款账户。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w:t>
      </w:r>
      <w:r>
        <w:rPr>
          <w:rFonts w:hint="eastAsia" w:ascii="宋体" w:hAnsi="宋体" w:eastAsia="宋体" w:cs="Times New Roman"/>
          <w:sz w:val="24"/>
          <w:szCs w:val="24"/>
        </w:rPr>
        <w:t xml:space="preserve">《江苏省政府采购履约验收管理办法》（苏财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w:t>
      </w:r>
      <w:r>
        <w:rPr>
          <w:rFonts w:hint="eastAsia" w:ascii="宋体" w:hAnsi="宋体" w:eastAsia="宋体" w:cs="Times New Roman"/>
          <w:sz w:val="24"/>
          <w:szCs w:val="24"/>
        </w:rPr>
        <w:t xml:space="preserve">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948"/>
        <w:sectPr>
          <w:footnotePr/>
          <w:endnotePr/>
          <w:type w:val="nextPage"/>
          <w:pgSz w:w="11906" w:h="16838" w:orient="portrait"/>
          <w:pgMar w:top="1247" w:right="1247" w:bottom="1247" w:left="1247" w:header="680" w:footer="992" w:gutter="0"/>
          <w:cols w:num="1" w:sep="0" w:space="720" w:equalWidth="1"/>
          <w:docGrid w:linePitch="360"/>
        </w:sectPr>
      </w:pPr>
      <w:r/>
      <w:r/>
    </w:p>
    <w:p>
      <w:pPr>
        <w:pStyle w:val="948"/>
      </w:pPr>
      <w:r/>
      <w:r/>
    </w:p>
    <w:p>
      <w:pPr>
        <w:pStyle w:val="948"/>
        <w:rPr>
          <w:rFonts w:ascii="楷体_GB2312" w:hAnsi="Times New Roman" w:eastAsia="楷体_GB2312"/>
          <w:b/>
          <w:sz w:val="28"/>
          <w:szCs w:val="28"/>
        </w:rPr>
      </w:pPr>
      <w:r/>
      <w:bookmarkStart w:id="10" w:name="_Toc213847315"/>
      <w:r>
        <w:rPr>
          <w:rFonts w:hint="eastAsia"/>
        </w:rPr>
        <w:t xml:space="preserve">第三章　项目要求和有关说明</w:t>
      </w:r>
      <w:bookmarkEnd w:id="10"/>
      <w:r/>
      <w:r/>
    </w:p>
    <w:p>
      <w:pPr>
        <w:ind w:firstLine="482"/>
        <w:jc w:val="center"/>
        <w:spacing w:line="400" w:lineRule="exact"/>
        <w:widowControl/>
        <w:rPr>
          <w:rFonts w:ascii="宋体" w:hAnsi="宋体" w:eastAsia="宋体" w:cs="宋体"/>
          <w:b/>
          <w:sz w:val="24"/>
        </w:rPr>
      </w:pPr>
      <w:r/>
      <w:bookmarkStart w:id="11" w:name="_Toc251268361"/>
      <w:r/>
      <w:r/>
    </w:p>
    <w:p>
      <w:pPr>
        <w:spacing w:line="400" w:lineRule="exact"/>
        <w:rPr>
          <w:rFonts w:ascii="黑体" w:hAnsi="黑体" w:eastAsia="黑体" w:cs="Times New Roman"/>
          <w:bCs/>
          <w:sz w:val="28"/>
          <w:szCs w:val="28"/>
        </w:rPr>
      </w:pPr>
      <w:r>
        <w:rPr>
          <w:rFonts w:hint="eastAsia" w:ascii="黑体" w:hAnsi="黑体" w:eastAsia="黑体" w:cs="Times New Roman"/>
          <w:bCs/>
          <w:sz w:val="28"/>
          <w:szCs w:val="28"/>
        </w:rPr>
        <w:t xml:space="preserve">一、项目概况： </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Times New Roman"/>
          <w:sz w:val="24"/>
          <w:szCs w:val="24"/>
        </w:rPr>
        <w:t xml:space="preserve">本项目为江阴市</w:t>
      </w:r>
      <w:r>
        <w:rPr>
          <w:rFonts w:hint="eastAsia" w:ascii="宋体" w:hAnsi="宋体" w:eastAsia="宋体" w:cs="Times New Roman"/>
          <w:sz w:val="24"/>
          <w:szCs w:val="24"/>
        </w:rPr>
        <w:t xml:space="preserve">璜</w:t>
      </w:r>
      <w:r>
        <w:rPr>
          <w:rFonts w:hint="eastAsia" w:ascii="宋体" w:hAnsi="宋体" w:eastAsia="宋体" w:cs="Times New Roman"/>
          <w:sz w:val="24"/>
          <w:szCs w:val="24"/>
        </w:rPr>
        <w:t xml:space="preserve">土镇人民政府的江阴市</w:t>
      </w:r>
      <w:r>
        <w:rPr>
          <w:rFonts w:hint="eastAsia" w:ascii="宋体" w:hAnsi="宋体" w:eastAsia="宋体" w:cs="Times New Roman"/>
          <w:sz w:val="24"/>
          <w:szCs w:val="24"/>
        </w:rPr>
        <w:t xml:space="preserve">璜土中心</w:t>
      </w:r>
      <w:r>
        <w:rPr>
          <w:rFonts w:hint="eastAsia" w:ascii="宋体" w:hAnsi="宋体" w:eastAsia="宋体" w:cs="Times New Roman"/>
          <w:sz w:val="24"/>
          <w:szCs w:val="24"/>
        </w:rPr>
        <w:t xml:space="preserve">幼儿园新园家具采购项目</w:t>
      </w:r>
      <w:r>
        <w:rPr>
          <w:rFonts w:hint="eastAsia" w:ascii="宋体" w:hAnsi="宋体" w:eastAsia="宋体" w:cs="Times New Roman"/>
          <w:sz w:val="24"/>
          <w:szCs w:val="28"/>
        </w:rPr>
        <w:t xml:space="preserve">。</w:t>
      </w:r>
      <w:r>
        <w:rPr>
          <w:rFonts w:hint="eastAsia" w:ascii="宋体" w:hAnsi="宋体" w:eastAsia="宋体" w:cs="Times New Roman"/>
          <w:sz w:val="24"/>
          <w:szCs w:val="24"/>
        </w:rPr>
        <w:t xml:space="preserve">本项目最高限价：285万元。</w:t>
      </w:r>
      <w:r/>
    </w:p>
    <w:p>
      <w:pPr>
        <w:contextualSpacing/>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本项目标的所属行业：工业。</w:t>
      </w:r>
      <w:r/>
    </w:p>
    <w:p>
      <w:pPr>
        <w:spacing w:line="400" w:lineRule="exact"/>
        <w:tabs>
          <w:tab w:val="left" w:pos="6840" w:leader="none"/>
        </w:tabs>
        <w:rPr>
          <w:rFonts w:ascii="黑体" w:hAnsi="黑体" w:eastAsia="黑体" w:cs="Times New Roman"/>
          <w:sz w:val="28"/>
          <w:szCs w:val="28"/>
        </w:rPr>
        <w:outlineLvl w:val="0"/>
      </w:pPr>
      <w:r>
        <w:rPr>
          <w:rFonts w:ascii="黑体" w:hAnsi="黑体" w:eastAsia="黑体" w:cs="Times New Roman"/>
          <w:sz w:val="28"/>
          <w:szCs w:val="28"/>
        </w:rPr>
      </w:r>
      <w:r/>
    </w:p>
    <w:p>
      <w:pPr>
        <w:spacing w:line="400" w:lineRule="exact"/>
        <w:tabs>
          <w:tab w:val="left" w:pos="6840" w:leader="none"/>
        </w:tabs>
        <w:rPr>
          <w:rFonts w:ascii="黑体" w:hAnsi="黑体" w:eastAsia="黑体" w:cs="Times New Roman"/>
          <w:sz w:val="28"/>
          <w:szCs w:val="28"/>
        </w:rPr>
        <w:outlineLvl w:val="0"/>
      </w:pPr>
      <w:r>
        <w:rPr>
          <w:rFonts w:hint="eastAsia" w:ascii="黑体" w:hAnsi="黑体" w:eastAsia="黑体" w:cs="Times New Roman"/>
          <w:sz w:val="28"/>
          <w:szCs w:val="28"/>
        </w:rPr>
        <w:t xml:space="preserve">二、采购清单、主要技术参数与性能指标要求：</w:t>
      </w:r>
      <w:r/>
    </w:p>
    <w:p>
      <w:pPr>
        <w:ind w:firstLine="482"/>
        <w:jc w:val="left"/>
        <w:spacing w:line="400" w:lineRule="exact"/>
        <w:widowControl/>
        <w:tabs>
          <w:tab w:val="left" w:pos="703" w:leader="none"/>
          <w:tab w:val="left" w:pos="2943" w:leader="none"/>
          <w:tab w:val="left" w:pos="5203" w:leader="none"/>
          <w:tab w:val="left" w:pos="6483" w:leader="none"/>
        </w:tabs>
        <w:rPr>
          <w:rFonts w:ascii="宋体" w:hAnsi="宋体" w:eastAsia="宋体" w:cs="宋体"/>
          <w:sz w:val="24"/>
          <w:szCs w:val="24"/>
        </w:rPr>
      </w:pPr>
      <w:r>
        <w:rPr>
          <w:rFonts w:hint="eastAsia" w:ascii="宋体" w:hAnsi="宋体" w:eastAsia="宋体" w:cs="宋体"/>
          <w:b/>
          <w:bCs/>
          <w:sz w:val="24"/>
          <w:szCs w:val="24"/>
        </w:rPr>
        <w:t xml:space="preserve">（一）详见招标公告附件：</w:t>
      </w:r>
      <w:r>
        <w:rPr>
          <w:rFonts w:hint="eastAsia" w:ascii="宋体" w:hAnsi="宋体" w:eastAsia="宋体" w:cs="宋体"/>
          <w:b/>
          <w:sz w:val="24"/>
          <w:szCs w:val="24"/>
        </w:rPr>
        <w:t xml:space="preserve">《江阴市璜土中心幼儿园新园家具采购清单》</w:t>
      </w:r>
      <w:r/>
    </w:p>
    <w:p>
      <w:pPr>
        <w:contextualSpacing/>
        <w:ind w:firstLine="482"/>
        <w:jc w:val="left"/>
        <w:spacing w:line="400" w:lineRule="exact"/>
        <w:rPr>
          <w:rFonts w:ascii="宋体" w:hAnsi="宋体" w:eastAsia="宋体" w:cs="Times New Roman"/>
          <w:b/>
          <w:bCs/>
          <w:sz w:val="24"/>
          <w:szCs w:val="24"/>
        </w:rPr>
      </w:pPr>
      <w:r>
        <w:rPr>
          <w:rFonts w:hint="eastAsia" w:ascii="宋体" w:hAnsi="宋体" w:eastAsia="宋体" w:cs="Times New Roman"/>
          <w:b/>
          <w:sz w:val="24"/>
          <w:szCs w:val="24"/>
        </w:rPr>
        <w:t xml:space="preserve">（二）</w:t>
      </w:r>
      <w:r>
        <w:rPr>
          <w:rFonts w:hint="eastAsia" w:ascii="宋体" w:hAnsi="宋体" w:eastAsia="宋体" w:cs="Times New Roman"/>
          <w:b/>
          <w:bCs/>
          <w:sz w:val="24"/>
          <w:szCs w:val="24"/>
        </w:rPr>
        <w:t xml:space="preserve">本项目核心产品为：幼儿桌、幼儿柜、幼儿</w:t>
      </w:r>
      <w:r>
        <w:rPr>
          <w:rFonts w:hint="eastAsia" w:ascii="宋体" w:hAnsi="宋体" w:eastAsia="宋体" w:cs="Times New Roman"/>
          <w:b/>
          <w:bCs/>
          <w:sz w:val="24"/>
          <w:szCs w:val="24"/>
        </w:rPr>
        <w:t xml:space="preserve">椅</w:t>
      </w:r>
      <w:r/>
    </w:p>
    <w:p>
      <w:pPr>
        <w:contextualSpacing/>
        <w:ind w:firstLine="480"/>
        <w:jc w:val="left"/>
        <w:spacing w:line="400" w:lineRule="exact"/>
        <w:rPr>
          <w:rFonts w:ascii="宋体" w:hAnsi="宋体" w:eastAsia="宋体" w:cs="Times New Roman"/>
          <w:sz w:val="24"/>
          <w:szCs w:val="24"/>
        </w:rPr>
      </w:pPr>
      <w:r/>
      <w:bookmarkStart w:id="12" w:name="OLE_LINK29"/>
      <w:r>
        <w:rPr>
          <w:rFonts w:hint="eastAsia" w:ascii="宋体" w:hAnsi="宋体" w:eastAsia="宋体" w:cs="Times New Roman"/>
          <w:sz w:val="24"/>
          <w:szCs w:val="24"/>
        </w:rPr>
        <w:t xml:space="preserve">通过资格审查、符合性审查的多家投标人提供的</w:t>
      </w:r>
      <w:r>
        <w:rPr>
          <w:rFonts w:hint="eastAsia" w:ascii="宋体" w:hAnsi="宋体" w:eastAsia="宋体" w:cs="Times New Roman"/>
          <w:b/>
          <w:sz w:val="24"/>
          <w:szCs w:val="24"/>
        </w:rPr>
        <w:t xml:space="preserve">任一</w:t>
      </w:r>
      <w:r>
        <w:rPr>
          <w:rFonts w:hint="eastAsia" w:ascii="宋体" w:hAnsi="宋体" w:eastAsia="宋体" w:cs="Times New Roman"/>
          <w:b/>
          <w:sz w:val="24"/>
          <w:szCs w:val="24"/>
        </w:rPr>
        <w:t xml:space="preserve">核心产品品牌相同</w:t>
      </w:r>
      <w:r>
        <w:rPr>
          <w:rFonts w:hint="eastAsia" w:ascii="宋体" w:hAnsi="宋体" w:eastAsia="宋体" w:cs="Times New Roman"/>
          <w:sz w:val="24"/>
          <w:szCs w:val="24"/>
        </w:rPr>
        <w:t xml:space="preserve">的，</w:t>
      </w:r>
      <w:r>
        <w:rPr>
          <w:rFonts w:hint="eastAsia" w:ascii="宋体" w:hAnsi="宋体" w:eastAsia="宋体" w:cs="Times New Roman"/>
          <w:sz w:val="24"/>
          <w:szCs w:val="24"/>
        </w:rPr>
        <w:t xml:space="preserve">均</w:t>
      </w:r>
      <w:r>
        <w:rPr>
          <w:rFonts w:hint="eastAsia" w:ascii="宋体" w:hAnsi="宋体" w:eastAsia="宋体" w:cs="Times New Roman"/>
          <w:sz w:val="24"/>
          <w:szCs w:val="24"/>
        </w:rPr>
        <w:t xml:space="preserve">按一家投标人计算,评审后得分最高的同品牌投标人获得中标人推荐资格；评审得分相同的，由采购人或者采购人委托评标委员会按照招标文件规定的方式确定一个投标人获得中标人推荐资格。</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采购文件及清单中涉及的产品品牌或型号，是采购人根据项目所要实现的功能推荐的品牌或型号，并不是限制条件，供应商可以采用不低于推荐的产品档次设计方案并参与竞争。投标单位应根据技术说明和要求，明确所选材料和货物的型号规格和选用品牌。</w:t>
      </w:r>
      <w:bookmarkEnd w:id="12"/>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1、提供详细设计、生产、安装调试方案及所遵循的国家标准和依据；</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2、必须在投标文件中对所报产品标明详细的品牌、型号、规格、所用材料、配件、图片等主要技术指标和性能；</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3、商务及技术规格有</w:t>
      </w:r>
      <w:r>
        <w:rPr>
          <w:rFonts w:hint="eastAsia" w:ascii="宋体" w:hAnsi="宋体" w:eastAsia="宋体" w:cs="Times New Roman"/>
          <w:sz w:val="24"/>
          <w:szCs w:val="24"/>
        </w:rPr>
        <w:t xml:space="preserve">偏离请</w:t>
      </w:r>
      <w:r>
        <w:rPr>
          <w:rFonts w:hint="eastAsia" w:ascii="宋体" w:hAnsi="宋体" w:eastAsia="宋体" w:cs="Times New Roman"/>
          <w:sz w:val="24"/>
          <w:szCs w:val="24"/>
        </w:rPr>
        <w:t xml:space="preserve">说明。</w:t>
      </w:r>
      <w:r/>
    </w:p>
    <w:p>
      <w:pPr>
        <w:ind w:firstLine="482"/>
        <w:jc w:val="left"/>
        <w:spacing w:line="400" w:lineRule="exact"/>
        <w:widowControl/>
        <w:rPr>
          <w:rFonts w:ascii="宋体" w:hAnsi="宋体" w:eastAsia="宋体" w:cs="Times New Roman"/>
          <w:b/>
          <w:sz w:val="24"/>
          <w:szCs w:val="24"/>
        </w:rPr>
      </w:pPr>
      <w:r>
        <w:rPr>
          <w:rFonts w:hint="eastAsia" w:ascii="宋体" w:hAnsi="宋体" w:eastAsia="宋体" w:cs="Times New Roman"/>
          <w:b/>
          <w:bCs/>
          <w:sz w:val="24"/>
          <w:szCs w:val="24"/>
        </w:rPr>
        <w:t xml:space="preserve">（三）</w:t>
      </w:r>
      <w:bookmarkStart w:id="13" w:name="OLE_LINK30"/>
      <w:r>
        <w:rPr>
          <w:rFonts w:hint="eastAsia" w:ascii="宋体" w:hAnsi="宋体" w:eastAsia="宋体" w:cs="Times New Roman"/>
          <w:b/>
          <w:bCs/>
          <w:sz w:val="24"/>
          <w:szCs w:val="24"/>
        </w:rPr>
        <w:t xml:space="preserve">材料要求</w:t>
      </w:r>
      <w:r>
        <w:rPr>
          <w:rFonts w:hint="eastAsia" w:ascii="宋体" w:hAnsi="宋体" w:eastAsia="宋体" w:cs="Times New Roman"/>
          <w:b/>
          <w:sz w:val="24"/>
          <w:szCs w:val="24"/>
        </w:rPr>
        <w:t xml:space="preserve">（如不涉及以下内容可按相关国家标准制造，以下要求如与设备采购清单中要求不一致的以设备采购清单要求为准）：</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1、家具应按相关国家标准和行业标准进行设计和制造。本技术规格书使用的标准参见所列技术标准。</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强制性质量及技术标准</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GB 18584    家具中有害物质限量</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GB 18580    室内装饰装修材料  人造板及其制品中甲醛释放限量</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GB 18581    木器涂料中有害物质限量</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GB 28007    儿童家具通用技术条件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GB 28481    塑料家具中有害物质限量</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GB/T 15102</w:t>
      </w:r>
      <w:r>
        <w:rPr>
          <w:rFonts w:hint="eastAsia" w:ascii="宋体" w:hAnsi="宋体" w:eastAsia="宋体" w:cs="Times New Roman"/>
          <w:bCs/>
          <w:sz w:val="24"/>
          <w:szCs w:val="24"/>
        </w:rPr>
        <w:t xml:space="preserve">  浸渍胶膜纸饰面纤维板和刨花板</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GB/T 9846   普通胶合板</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QB/T 2280   办公家具办公</w:t>
      </w:r>
      <w:r>
        <w:rPr>
          <w:rFonts w:hint="eastAsia" w:ascii="宋体" w:hAnsi="宋体" w:eastAsia="宋体" w:cs="Times New Roman"/>
          <w:sz w:val="24"/>
          <w:szCs w:val="24"/>
        </w:rPr>
        <w:t xml:space="preserve">椅</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GB/T 23987  色漆和清漆.涂层的人工气候老化曝露.曝露于荧光紫外线和水</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GB/T 23999  室内装饰装修用水性木器涂料</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GB/T 3324   木家具通用技术条件</w:t>
      </w:r>
      <w:r/>
    </w:p>
    <w:p>
      <w:pPr>
        <w:ind w:firstLine="480"/>
        <w:jc w:val="left"/>
        <w:spacing w:line="400" w:lineRule="exact"/>
        <w:widowControl/>
        <w:rPr>
          <w:rFonts w:ascii="Times New Roman" w:hAnsi="Times New Roman" w:eastAsia="宋体" w:cs="Times New Roman"/>
          <w:szCs w:val="24"/>
        </w:rPr>
      </w:pPr>
      <w:r>
        <w:rPr>
          <w:rFonts w:hint="eastAsia" w:ascii="宋体" w:hAnsi="宋体" w:eastAsia="宋体" w:cs="Times New Roman"/>
          <w:sz w:val="24"/>
          <w:szCs w:val="24"/>
        </w:rPr>
        <w:t xml:space="preserve">GB/T 3325   金属家具通用技术条件</w:t>
      </w:r>
      <w:r/>
    </w:p>
    <w:p>
      <w:pPr>
        <w:ind w:firstLine="480"/>
        <w:jc w:val="left"/>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GB</w:t>
      </w:r>
      <w:r>
        <w:rPr>
          <w:rFonts w:hint="eastAsia" w:ascii="宋体" w:hAnsi="宋体" w:eastAsia="宋体" w:cs="Times New Roman"/>
          <w:sz w:val="24"/>
          <w:szCs w:val="24"/>
        </w:rPr>
        <w:t xml:space="preserve">/T</w:t>
      </w:r>
      <w:r>
        <w:rPr>
          <w:rFonts w:ascii="宋体" w:hAnsi="宋体" w:eastAsia="宋体" w:cs="Times New Roman"/>
          <w:sz w:val="24"/>
          <w:szCs w:val="24"/>
        </w:rPr>
        <w:t xml:space="preserve"> 35607 </w:t>
      </w:r>
      <w:r>
        <w:rPr>
          <w:rFonts w:hint="eastAsia" w:ascii="宋体" w:hAnsi="宋体" w:eastAsia="宋体" w:cs="Times New Roman"/>
          <w:sz w:val="24"/>
          <w:szCs w:val="24"/>
        </w:rPr>
        <w:t xml:space="preserve"> </w:t>
      </w:r>
      <w:r>
        <w:rPr>
          <w:rFonts w:ascii="宋体" w:hAnsi="宋体" w:eastAsia="宋体" w:cs="Times New Roman"/>
          <w:sz w:val="24"/>
          <w:szCs w:val="24"/>
        </w:rPr>
        <w:t xml:space="preserve">绿色产品评价</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2、力学性能：</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1）零、部件不得有断裂或豁裂。</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2）用手揿</w:t>
      </w:r>
      <w:r>
        <w:rPr>
          <w:rFonts w:hint="eastAsia" w:ascii="宋体" w:hAnsi="宋体" w:eastAsia="宋体" w:cs="Times New Roman"/>
          <w:sz w:val="24"/>
          <w:szCs w:val="24"/>
        </w:rPr>
        <w:t xml:space="preserve">压某些</w:t>
      </w:r>
      <w:r>
        <w:rPr>
          <w:rFonts w:hint="eastAsia" w:ascii="宋体" w:hAnsi="宋体" w:eastAsia="宋体" w:cs="Times New Roman"/>
          <w:sz w:val="24"/>
          <w:szCs w:val="24"/>
        </w:rPr>
        <w:t xml:space="preserve">应为固定的部件不能出现永久性松动。</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3）零、部件不能出现严重影响使用功能的磨损和变形。</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4）五金件不能松动。</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5）活动部件（包括门类装置）的开关应灵便。</w:t>
      </w:r>
      <w:bookmarkEnd w:id="13"/>
      <w:r/>
      <w:r/>
    </w:p>
    <w:p>
      <w:pPr>
        <w:ind w:firstLine="482"/>
        <w:jc w:val="left"/>
        <w:spacing w:line="400" w:lineRule="exact"/>
        <w:widowControl/>
        <w:rPr>
          <w:rFonts w:ascii="宋体" w:hAnsi="宋体" w:eastAsia="宋体" w:cs="宋体"/>
          <w:b/>
          <w:sz w:val="24"/>
          <w:szCs w:val="24"/>
        </w:rPr>
      </w:pPr>
      <w:r>
        <w:rPr>
          <w:rFonts w:hint="eastAsia" w:ascii="宋体" w:hAnsi="宋体" w:eastAsia="宋体" w:cs="宋体"/>
          <w:b/>
          <w:sz w:val="24"/>
          <w:szCs w:val="24"/>
          <w:lang w:bidi="ar"/>
        </w:rPr>
        <w:t xml:space="preserve">（四）说明：</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（1）</w:t>
      </w:r>
      <w:bookmarkStart w:id="14" w:name="OLE_LINK34"/>
      <w:r/>
      <w:bookmarkStart w:id="15" w:name="OLE_LINK33"/>
      <w:r>
        <w:rPr>
          <w:rFonts w:hint="eastAsia" w:ascii="宋体" w:hAnsi="宋体" w:eastAsia="宋体" w:cs="Times New Roman"/>
          <w:sz w:val="24"/>
          <w:szCs w:val="24"/>
        </w:rPr>
        <w:t xml:space="preserve">对投标人投标产品的要求：</w:t>
      </w:r>
      <w:bookmarkEnd w:id="14"/>
      <w:r/>
      <w:bookmarkEnd w:id="15"/>
      <w:r/>
      <w:r/>
    </w:p>
    <w:p>
      <w:pPr>
        <w:ind w:firstLine="480"/>
        <w:jc w:val="left"/>
        <w:spacing w:line="400" w:lineRule="exact"/>
        <w:widowControl/>
        <w:rPr>
          <w:rFonts w:ascii="宋体" w:hAnsi="宋体" w:eastAsia="宋体" w:cs="Times New Roman"/>
          <w:sz w:val="24"/>
          <w:szCs w:val="24"/>
        </w:rPr>
      </w:pPr>
      <w:r/>
      <w:bookmarkStart w:id="16" w:name="OLE_LINK35"/>
      <w:r/>
      <w:bookmarkStart w:id="17" w:name="OLE_LINK36"/>
      <w:r>
        <w:rPr>
          <w:rFonts w:hint="eastAsia" w:ascii="宋体" w:hAnsi="宋体" w:eastAsia="宋体" w:cs="Times New Roman"/>
          <w:sz w:val="24"/>
          <w:szCs w:val="24"/>
        </w:rPr>
        <w:t xml:space="preserve">A、投标产品的款式应参考采购清单提供的彩色图片；产品颜色由采购单位最终确定，中标单位应自行承担</w:t>
      </w:r>
      <w:r>
        <w:rPr>
          <w:rFonts w:hint="eastAsia" w:ascii="宋体" w:hAnsi="宋体" w:eastAsia="宋体" w:cs="Times New Roman"/>
          <w:sz w:val="24"/>
          <w:szCs w:val="24"/>
        </w:rPr>
        <w:t xml:space="preserve">该相关</w:t>
      </w:r>
      <w:r>
        <w:rPr>
          <w:rFonts w:hint="eastAsia" w:ascii="宋体" w:hAnsi="宋体" w:eastAsia="宋体" w:cs="Times New Roman"/>
          <w:sz w:val="24"/>
          <w:szCs w:val="24"/>
        </w:rPr>
        <w:t xml:space="preserve">费用，采购单位不予承担产生的额外费用；</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B、投标产品材质必须符合或高于招标文件要求。如采用与招标要求不一致且主观认为高于招标文件要求的材质，则应当在投标文件中详细描述，且必须提供相关证明文件，或者相关的国家技术规范，但供应商</w:t>
      </w:r>
      <w:r>
        <w:rPr>
          <w:rFonts w:hint="eastAsia" w:ascii="宋体" w:hAnsi="宋体" w:eastAsia="宋体" w:cs="Times New Roman"/>
          <w:sz w:val="24"/>
          <w:szCs w:val="24"/>
        </w:rPr>
        <w:t xml:space="preserve">应承担被评委</w:t>
      </w:r>
      <w:r>
        <w:rPr>
          <w:rFonts w:hint="eastAsia" w:ascii="宋体" w:hAnsi="宋体" w:eastAsia="宋体" w:cs="Times New Roman"/>
          <w:sz w:val="24"/>
          <w:szCs w:val="24"/>
        </w:rPr>
        <w:t xml:space="preserve">否定的风险；</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C、投标产品的物理尺寸、生产加工工艺在不影响产品的功能特点和整体结构的基础上，允许适度偏离，但应当在投标文件详细描述，偏离是否适度、是否科学合理，将由评委综合评价，投标人</w:t>
      </w:r>
      <w:r>
        <w:rPr>
          <w:rFonts w:hint="eastAsia" w:ascii="宋体" w:hAnsi="宋体" w:eastAsia="宋体" w:cs="Times New Roman"/>
          <w:sz w:val="24"/>
          <w:szCs w:val="24"/>
        </w:rPr>
        <w:t xml:space="preserve">应承担被判定</w:t>
      </w:r>
      <w:r>
        <w:rPr>
          <w:rFonts w:hint="eastAsia" w:ascii="宋体" w:hAnsi="宋体" w:eastAsia="宋体" w:cs="Times New Roman"/>
          <w:sz w:val="24"/>
          <w:szCs w:val="24"/>
        </w:rPr>
        <w:t xml:space="preserve">为偏离度过大，已影响产品功能特点和整体结构的风险；</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D、投标产品的整体结构、连接结构原则上不允许偏离，如投标人主观认为在尊重采购单位要求的基础上进行了市场主流化或个性化设计调整的，则应当在投标文件中详细的描述，且必须提供客观的书面依据予以佐证，并承担被评委否定的风险；</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E、投标产品所用零配件必须符合或高于招标文件要求。</w:t>
      </w:r>
      <w:bookmarkEnd w:id="16"/>
      <w:r/>
      <w:bookmarkEnd w:id="17"/>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2）本项目为交钥匙工程，清单中所列除家具确定的设备外的施工工程量有可能增加或减少，投标单位可根据现场勘察情况形成准确的投标方案，采购单位在工程结束后不再进行审计，也不支付中标价以外的任何费用。</w:t>
      </w:r>
      <w:r/>
    </w:p>
    <w:p>
      <w:pPr>
        <w:ind w:firstLine="482"/>
        <w:jc w:val="left"/>
        <w:spacing w:line="400" w:lineRule="exact"/>
        <w:widowControl/>
        <w:rPr>
          <w:rFonts w:ascii="宋体" w:hAnsi="宋体" w:eastAsia="宋体" w:cs="宋体"/>
          <w:sz w:val="24"/>
          <w:szCs w:val="24"/>
        </w:rPr>
      </w:pPr>
      <w:r>
        <w:rPr>
          <w:rFonts w:hint="eastAsia" w:ascii="宋体" w:hAnsi="宋体" w:eastAsia="宋体" w:cs="宋体"/>
          <w:b/>
          <w:sz w:val="24"/>
          <w:szCs w:val="24"/>
          <w:lang w:bidi="ar"/>
        </w:rPr>
        <w:t xml:space="preserve">（五）安装：</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1、中标单位安装时必须由相关上岗资质的人员负责，否则视为违约。</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2、中标单位须承诺听从采购单位指挥，无偿配合其他单位的安装、调试工作。</w:t>
      </w:r>
      <w:r/>
    </w:p>
    <w:p>
      <w:pPr>
        <w:ind w:firstLine="480"/>
        <w:jc w:val="left"/>
        <w:spacing w:line="400" w:lineRule="exact"/>
        <w:widowControl/>
        <w:rPr>
          <w:rFonts w:ascii="黑体" w:hAnsi="黑体" w:eastAsia="黑体" w:cs="Times New Roman"/>
          <w:sz w:val="28"/>
          <w:szCs w:val="28"/>
        </w:rPr>
      </w:pPr>
      <w:r>
        <w:rPr>
          <w:rFonts w:hint="eastAsia" w:ascii="宋体" w:hAnsi="宋体" w:eastAsia="宋体" w:cs="宋体"/>
          <w:sz w:val="24"/>
          <w:szCs w:val="24"/>
          <w:lang w:bidi="ar"/>
        </w:rPr>
        <w:t xml:space="preserve">3、中标单位安装及搬运家具时，如造成电梯间及室内已完装饰工程的损坏，由中标单位负责维修，费用自理。</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三、交货（完工）时间：</w:t>
      </w:r>
      <w:r/>
    </w:p>
    <w:p>
      <w:pPr>
        <w:ind w:firstLine="560"/>
        <w:spacing w:line="400" w:lineRule="exact"/>
        <w:rPr>
          <w:rFonts w:ascii="黑体" w:hAnsi="黑体" w:eastAsia="黑体" w:cs="Times New Roman"/>
          <w:sz w:val="28"/>
          <w:szCs w:val="28"/>
        </w:rPr>
      </w:pPr>
      <w:r>
        <w:rPr>
          <w:rFonts w:hint="eastAsia" w:ascii="宋体" w:hAnsi="宋体" w:eastAsia="宋体" w:cs="宋体"/>
          <w:sz w:val="24"/>
          <w:szCs w:val="24"/>
        </w:rPr>
        <w:t xml:space="preserve">合同签订后</w:t>
      </w:r>
      <w:r>
        <w:rPr>
          <w:rFonts w:hint="eastAsia" w:ascii="宋体" w:hAnsi="宋体" w:eastAsia="宋体" w:cs="宋体"/>
          <w:sz w:val="24"/>
          <w:szCs w:val="24"/>
          <w:u w:val="single"/>
        </w:rPr>
        <w:t xml:space="preserve">30</w:t>
      </w:r>
      <w:r>
        <w:rPr>
          <w:rFonts w:hint="eastAsia" w:ascii="宋体" w:hAnsi="宋体" w:eastAsia="宋体" w:cs="宋体"/>
          <w:bCs/>
          <w:sz w:val="24"/>
          <w:szCs w:val="24"/>
        </w:rPr>
        <w:t xml:space="preserve">日完成交货及安装调试</w:t>
      </w:r>
      <w:r>
        <w:rPr>
          <w:rFonts w:hint="eastAsia" w:ascii="宋体" w:hAnsi="宋体" w:eastAsia="宋体" w:cs="宋体"/>
          <w:sz w:val="24"/>
          <w:szCs w:val="24"/>
        </w:rPr>
        <w:t xml:space="preserve">。</w:t>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 </w:t>
      </w:r>
      <w:r/>
    </w:p>
    <w:p>
      <w:pPr>
        <w:spacing w:line="400" w:lineRule="exact"/>
        <w:rPr>
          <w:rFonts w:ascii="宋体" w:hAnsi="宋体" w:eastAsia="黑体" w:cs="Times New Roman"/>
          <w:sz w:val="24"/>
          <w:szCs w:val="24"/>
        </w:rPr>
      </w:pPr>
      <w:r>
        <w:rPr>
          <w:rFonts w:hint="eastAsia" w:ascii="黑体" w:hAnsi="黑体" w:eastAsia="黑体" w:cs="Times New Roman"/>
          <w:sz w:val="28"/>
          <w:szCs w:val="28"/>
        </w:rPr>
        <w:t xml:space="preserve">四、交货（服务）地点：</w:t>
      </w:r>
      <w:r>
        <w:rPr>
          <w:rFonts w:ascii="宋体" w:hAnsi="宋体" w:eastAsia="黑体" w:cs="Times New Roman"/>
          <w:sz w:val="24"/>
          <w:szCs w:val="24"/>
        </w:rPr>
        <w:t xml:space="preserve"> </w:t>
      </w:r>
      <w:r/>
    </w:p>
    <w:p>
      <w:pPr>
        <w:ind w:firstLine="480"/>
        <w:spacing w:line="400" w:lineRule="atLeast"/>
        <w:rPr>
          <w:rFonts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cs="宋体"/>
          <w:sz w:val="24"/>
        </w:rPr>
        <w:t xml:space="preserve">按甲方要求送至幼儿园现场内（江阴市</w:t>
      </w:r>
      <w:r>
        <w:rPr>
          <w:rFonts w:hint="eastAsia" w:ascii="宋体" w:hAnsi="宋体" w:cs="宋体"/>
          <w:sz w:val="24"/>
        </w:rPr>
        <w:t xml:space="preserve">璜</w:t>
      </w:r>
      <w:r>
        <w:rPr>
          <w:rFonts w:hint="eastAsia" w:ascii="宋体" w:hAnsi="宋体" w:cs="宋体"/>
          <w:sz w:val="24"/>
        </w:rPr>
        <w:t xml:space="preserve">土镇）。</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五、质量保证及服务：</w:t>
      </w:r>
      <w:r/>
    </w:p>
    <w:p>
      <w:pPr>
        <w:ind w:firstLine="480"/>
        <w:spacing w:line="400" w:lineRule="atLeast"/>
        <w:rPr>
          <w:rFonts w:ascii="宋体" w:hAnsi="宋体" w:eastAsia="宋体" w:cs="Times New Roman"/>
          <w:sz w:val="24"/>
          <w:szCs w:val="24"/>
        </w:rPr>
      </w:pPr>
      <w:r>
        <w:rPr>
          <w:rFonts w:hint="eastAsia" w:ascii="宋体" w:hAnsi="宋体"/>
          <w:sz w:val="24"/>
        </w:rPr>
        <w:t xml:space="preserve">1、</w:t>
      </w:r>
      <w:bookmarkStart w:id="18" w:name="OLE_LINK56"/>
      <w:r/>
      <w:bookmarkStart w:id="19" w:name="OLE_LINK55"/>
      <w:r>
        <w:rPr>
          <w:rFonts w:hint="eastAsia" w:ascii="宋体" w:hAnsi="宋体" w:eastAsia="宋体" w:cs="Times New Roman"/>
          <w:sz w:val="24"/>
          <w:szCs w:val="24"/>
        </w:rPr>
        <w:t xml:space="preserve">家具验收说明：</w:t>
      </w:r>
      <w:r/>
    </w:p>
    <w:p>
      <w:pPr>
        <w:ind w:firstLine="480"/>
        <w:spacing w:line="400" w:lineRule="atLeast"/>
        <w:rPr>
          <w:rFonts w:ascii="宋体" w:hAnsi="宋体" w:eastAsia="宋体" w:cs="Times New Roman"/>
          <w:bCs/>
          <w:sz w:val="24"/>
          <w:szCs w:val="24"/>
        </w:rPr>
      </w:pPr>
      <w:r>
        <w:rPr>
          <w:rFonts w:hint="eastAsia" w:ascii="宋体" w:hAnsi="宋体" w:eastAsia="宋体" w:cs="Times New Roman"/>
          <w:sz w:val="24"/>
          <w:szCs w:val="24"/>
        </w:rPr>
        <w:t xml:space="preserve">采购单位根据国家有关规定、招标文件、中标单位的投标文件以及合同约定的内容和验收标准进行验收，</w:t>
      </w:r>
      <w:r>
        <w:rPr>
          <w:rFonts w:hint="eastAsia" w:ascii="宋体" w:hAnsi="宋体" w:eastAsia="宋体" w:cs="Times New Roman"/>
          <w:bCs/>
          <w:sz w:val="24"/>
          <w:szCs w:val="24"/>
        </w:rPr>
        <w:t xml:space="preserve">若供货产品不符合相关要求，则采购单位可要求退货且按合同条款规定进行赔偿或处理。家具经调试安装结束后，中标单位先进行自验，自验合格后，应书面形式通知采购单位进行验收。采购单位按照</w:t>
      </w:r>
      <w:r>
        <w:rPr>
          <w:rFonts w:hint="eastAsia" w:ascii="宋体" w:hAnsi="宋体" w:eastAsia="宋体" w:cs="Times New Roman"/>
          <w:sz w:val="24"/>
          <w:szCs w:val="24"/>
        </w:rPr>
        <w:t xml:space="preserve">《江苏省政府采购履约验收管理办法》（苏财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w:t>
      </w:r>
      <w:r>
        <w:rPr>
          <w:rFonts w:hint="eastAsia" w:ascii="宋体" w:hAnsi="宋体" w:eastAsia="宋体" w:cs="Times New Roman"/>
          <w:bCs/>
          <w:sz w:val="24"/>
          <w:szCs w:val="24"/>
        </w:rPr>
        <w:t xml:space="preserve">的规定组织相关人员验收，如发现货物短缺、质次、损坏、与招标文件及质量要求和标准、产地和规格等不符合问题，由中标单位立即无条件为需方调换或补齐，同时由中标单位承担因此而产生的工期延误等所造成的一切损失。验收情况作为支付货款的依据。如有质疑，以相关质量技术检验检测机构的检验结果为准，如产生检验费用，则该费用由过失方承担。</w:t>
      </w:r>
      <w:bookmarkEnd w:id="18"/>
      <w:r/>
      <w:bookmarkEnd w:id="19"/>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2、质量保证：验收合格起免费保修不低于5年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中标单位必须备足10%的家具零配件。木家具一年内日折旧率为0.1%，如出现断</w:t>
      </w:r>
      <w:r>
        <w:rPr>
          <w:rFonts w:hint="eastAsia" w:ascii="宋体" w:hAnsi="宋体" w:eastAsia="宋体" w:cs="Times New Roman"/>
          <w:sz w:val="24"/>
          <w:szCs w:val="24"/>
        </w:rPr>
        <w:t xml:space="preserve">榫</w:t>
      </w:r>
      <w:r>
        <w:rPr>
          <w:rFonts w:hint="eastAsia" w:ascii="宋体" w:hAnsi="宋体" w:eastAsia="宋体" w:cs="Times New Roman"/>
          <w:sz w:val="24"/>
          <w:szCs w:val="24"/>
        </w:rPr>
        <w:t xml:space="preserve">断料、部位变形结构松动、木料生虫等重大质量缺陷问题，中标厂家予以免费包换。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质保期自货物经验收合格之日起计算。</w:t>
      </w:r>
      <w:r>
        <w:rPr>
          <w:rFonts w:hint="eastAsia" w:ascii="宋体" w:hAnsi="宋体" w:eastAsia="宋体" w:cs="宋体"/>
          <w:sz w:val="24"/>
          <w:szCs w:val="24"/>
        </w:rPr>
        <w:t xml:space="preserve">投标单位必须</w:t>
      </w:r>
      <w:r>
        <w:rPr>
          <w:rFonts w:hint="eastAsia" w:ascii="宋体" w:hAnsi="宋体" w:eastAsia="宋体" w:cs="宋体"/>
          <w:sz w:val="24"/>
          <w:szCs w:val="24"/>
        </w:rPr>
        <w:t xml:space="preserve">完全响应</w:t>
      </w:r>
      <w:r>
        <w:rPr>
          <w:rFonts w:hint="eastAsia" w:ascii="宋体" w:hAnsi="宋体" w:eastAsia="宋体" w:cs="宋体"/>
          <w:sz w:val="24"/>
          <w:szCs w:val="24"/>
        </w:rPr>
        <w:t xml:space="preserve">采购单位对家具质量保证要求，中标后签订合同时须出具免费质量保证证明原件。</w:t>
      </w:r>
      <w:r>
        <w:rPr>
          <w:rFonts w:hint="eastAsia" w:ascii="宋体" w:hAnsi="宋体" w:eastAsia="宋体" w:cs="Times New Roman"/>
          <w:sz w:val="24"/>
          <w:szCs w:val="24"/>
        </w:rPr>
        <w:t xml:space="preserve">家具涉及非投标单位本厂生产产品，需在竣工后（一星期内）提供原厂的对本批次产品的厂方质保文件，如不能提供，采购单位将不予验收。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3、售后服务：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在保修期内，若出现质量问题，无条件、免费提供各种维修服务（包括零配件免费）。保修期内每年免费定期巡检与保养两次。保修期满后，实行终身跟踪维修，按最低价收取零部件费用，不收取维修费及其他费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（2）中标后供应商在江阴必须设立售后及维修服务机构（可授权），并向采购方提供江阴地区的售后服务机构详细书面资料（包括机构名称、地址、有</w:t>
      </w:r>
      <w:r>
        <w:rPr>
          <w:rFonts w:hint="eastAsia" w:ascii="宋体" w:hAnsi="宋体" w:eastAsia="宋体" w:cs="Times New Roman"/>
          <w:sz w:val="24"/>
          <w:szCs w:val="24"/>
        </w:rPr>
        <w:t xml:space="preserve">社保证明</w:t>
      </w:r>
      <w:r>
        <w:rPr>
          <w:rFonts w:hint="eastAsia" w:ascii="宋体" w:hAnsi="宋体" w:eastAsia="宋体" w:cs="Times New Roman"/>
          <w:sz w:val="24"/>
          <w:szCs w:val="24"/>
        </w:rPr>
        <w:t xml:space="preserve">的人员设置情况、联系电话、传真等，均须加盖投标单位公章），维修机构应有2名以上常驻维修人员。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4、采购单位报修后，不论是否工作日，中标单位服务响应时间均为：1小时内响应，3小时内到现场并解决问题。特殊情况双方协商解决（如更换零配件）。</w:t>
      </w:r>
      <w:r/>
    </w:p>
    <w:p>
      <w:pPr>
        <w:ind w:firstLine="480"/>
        <w:spacing w:line="400" w:lineRule="exact"/>
        <w:rPr>
          <w:rFonts w:ascii="黑体" w:hAnsi="黑体" w:eastAsia="黑体" w:cs="Times New Roman"/>
          <w:sz w:val="28"/>
          <w:szCs w:val="28"/>
        </w:rPr>
      </w:pPr>
      <w:r>
        <w:rPr>
          <w:rFonts w:hint="eastAsia" w:ascii="宋体" w:hAnsi="宋体" w:eastAsia="宋体" w:cs="Times New Roman"/>
          <w:sz w:val="24"/>
          <w:szCs w:val="24"/>
        </w:rPr>
        <w:t xml:space="preserve">5、投标单位应按其投标文件中的承诺，进行其他售后服务工作。</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六、付款方式：</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项目竣工验收合格后支付至合同价款的90%，余款在验收合格满一年后一次性付清（不计息）。具体付款时间以采购人支付节点及有关要求为准。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如本项目为中小企业中标，则付款方式按照《保障中小企业款项支付条例》(中华人民共和国国务院令第802号)执行。</w:t>
      </w:r>
      <w:r/>
    </w:p>
    <w:p>
      <w:pPr>
        <w:ind w:firstLine="482"/>
        <w:spacing w:line="400" w:lineRule="exact"/>
        <w:rPr>
          <w:rFonts w:ascii="楷体_GB2312" w:hAnsi="楷体_GB2312" w:eastAsia="楷体_GB2312" w:cs="Times New Roman"/>
          <w:b/>
          <w:sz w:val="24"/>
          <w:szCs w:val="24"/>
        </w:rPr>
        <w:outlineLvl w:val="0"/>
      </w:pPr>
      <w:r>
        <w:rPr>
          <w:rFonts w:ascii="楷体_GB2312" w:hAnsi="楷体_GB2312" w:eastAsia="楷体_GB2312" w:cs="Times New Roman"/>
          <w:b/>
          <w:sz w:val="24"/>
          <w:szCs w:val="24"/>
        </w:rPr>
      </w:r>
      <w:r/>
    </w:p>
    <w:p>
      <w:pPr>
        <w:spacing w:line="400" w:lineRule="exact"/>
        <w:rPr>
          <w:rFonts w:ascii="黑体" w:hAnsi="黑体" w:eastAsia="黑体" w:cs="Times New Roman"/>
          <w:sz w:val="28"/>
          <w:szCs w:val="28"/>
        </w:rPr>
        <w:outlineLvl w:val="0"/>
      </w:pPr>
      <w:r>
        <w:rPr>
          <w:rFonts w:hint="eastAsia" w:ascii="黑体" w:hAnsi="黑体" w:eastAsia="黑体" w:cs="Times New Roman"/>
          <w:sz w:val="28"/>
          <w:szCs w:val="28"/>
        </w:rPr>
        <w:t xml:space="preserve">七、有关说明：</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1、公开招标为一次性报价，报价内容必须报全，不得漏项。</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2、合同总价（即投标最终价）包括全部货物和服务的报价，应包括投标产品及其备品、备件和专用工具费用、税费及包装、运至最终目的地的运输、保险、安装、检测验收、调试、技术支持与培训、售后服务</w:t>
      </w:r>
      <w:r>
        <w:rPr>
          <w:rFonts w:hint="eastAsia" w:ascii="宋体" w:hAnsi="宋体" w:eastAsia="宋体" w:cs="Times New Roman"/>
          <w:bCs/>
          <w:sz w:val="24"/>
          <w:szCs w:val="24"/>
        </w:rPr>
        <w:t xml:space="preserve">与维保及</w:t>
      </w:r>
      <w:r>
        <w:rPr>
          <w:rFonts w:hint="eastAsia" w:ascii="宋体" w:hAnsi="宋体" w:eastAsia="宋体" w:cs="Times New Roman"/>
          <w:bCs/>
          <w:sz w:val="24"/>
          <w:szCs w:val="24"/>
        </w:rPr>
        <w:t xml:space="preserve">相关劳务支出等工作所发生的全部费用以及投标单位企业利润、税金和政策性文件规定及合同包含的所有风险、责任等各项应有费用。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w:t>
      </w:r>
      <w:bookmarkStart w:id="20" w:name="OLE_LINK45"/>
      <w:r/>
      <w:bookmarkStart w:id="21" w:name="OLE_LINK44"/>
      <w:r>
        <w:rPr>
          <w:rFonts w:hint="eastAsia" w:ascii="宋体" w:hAnsi="宋体" w:eastAsia="宋体" w:cs="Times New Roman"/>
          <w:bCs/>
          <w:sz w:val="24"/>
          <w:szCs w:val="24"/>
        </w:rPr>
        <w:t xml:space="preserve">产品质量必须符合《中华人民共和国国家标准》及我国最新颁布的与之相关的技术规范与正宗合格产品标准，同时必须满足招标书中所列全部规格、型号、具体配置、技术条件及功能要求和供方承诺的其它指标；产品质量出现问题，供方负责包退、包换、包修，其费用由供方负责。</w:t>
      </w:r>
      <w:bookmarkEnd w:id="20"/>
      <w:r/>
      <w:bookmarkEnd w:id="21"/>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w:t>
      </w:r>
      <w:bookmarkStart w:id="22" w:name="OLE_LINK46"/>
      <w:r/>
      <w:bookmarkStart w:id="23" w:name="OLE_LINK47"/>
      <w:r>
        <w:rPr>
          <w:rFonts w:ascii="宋体" w:hAnsi="宋体" w:eastAsia="宋体" w:cs="Times New Roman"/>
          <w:bCs/>
          <w:sz w:val="24"/>
          <w:szCs w:val="24"/>
        </w:rPr>
        <w:t xml:space="preserve">交货前，采购</w:t>
      </w:r>
      <w:r>
        <w:rPr>
          <w:rFonts w:hint="eastAsia" w:ascii="宋体" w:hAnsi="宋体" w:eastAsia="宋体" w:cs="Times New Roman"/>
          <w:bCs/>
          <w:sz w:val="24"/>
          <w:szCs w:val="24"/>
        </w:rPr>
        <w:t xml:space="preserve">单位</w:t>
      </w:r>
      <w:r>
        <w:rPr>
          <w:rFonts w:ascii="宋体" w:hAnsi="宋体" w:eastAsia="宋体" w:cs="Times New Roman"/>
          <w:bCs/>
          <w:sz w:val="24"/>
          <w:szCs w:val="24"/>
        </w:rPr>
        <w:t xml:space="preserve">将不定期</w:t>
      </w:r>
      <w:r>
        <w:rPr>
          <w:rFonts w:hint="eastAsia" w:ascii="宋体" w:hAnsi="宋体" w:eastAsia="宋体" w:cs="Times New Roman"/>
          <w:bCs/>
          <w:sz w:val="24"/>
          <w:szCs w:val="24"/>
        </w:rPr>
        <w:t xml:space="preserve">对中标标的物的生产过程等进行查询和抽检或</w:t>
      </w:r>
      <w:r>
        <w:rPr>
          <w:rFonts w:ascii="宋体" w:hAnsi="宋体" w:eastAsia="宋体" w:cs="Times New Roman"/>
          <w:bCs/>
          <w:sz w:val="24"/>
          <w:szCs w:val="24"/>
        </w:rPr>
        <w:t xml:space="preserve">随机抽取预供货产品交由权威检测部门进行详细检测</w:t>
      </w:r>
      <w:r>
        <w:rPr>
          <w:rFonts w:hint="eastAsia" w:ascii="宋体" w:hAnsi="宋体" w:eastAsia="宋体" w:cs="Times New Roman"/>
          <w:bCs/>
          <w:sz w:val="24"/>
          <w:szCs w:val="24"/>
        </w:rPr>
        <w:t xml:space="preserve">，</w:t>
      </w:r>
      <w:r>
        <w:rPr>
          <w:rFonts w:ascii="宋体" w:hAnsi="宋体" w:eastAsia="宋体" w:cs="Times New Roman"/>
          <w:bCs/>
          <w:sz w:val="24"/>
          <w:szCs w:val="24"/>
        </w:rPr>
        <w:t xml:space="preserve">若</w:t>
      </w:r>
      <w:r>
        <w:rPr>
          <w:rFonts w:hint="eastAsia" w:ascii="宋体" w:hAnsi="宋体" w:eastAsia="宋体" w:cs="Times New Roman"/>
          <w:bCs/>
          <w:sz w:val="24"/>
          <w:szCs w:val="24"/>
        </w:rPr>
        <w:t xml:space="preserve">发现中标单位存在违反本次采购标的物要求的，采购单位有权中止合同，且所产生的一切经济损失、后果和法律责任均由中标单位全部承担；</w:t>
      </w:r>
      <w:bookmarkEnd w:id="22"/>
      <w:r/>
      <w:bookmarkEnd w:id="23"/>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5、中标单位不得对该项工程进行转包或分包，若出现此类情况，采购单位有权终止合同且所产生的一切经济损失、后果和法律责任均由中标单位全部承担；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6、中标单位应严格遵守投标文件中承诺的供货安装时间，不得延误。若因不可抗力的原因，不能按时交货和提供服务的，应及时以书面形式将拖延情况通知采购单位；</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w:t>
      </w:r>
      <w:bookmarkStart w:id="24" w:name="OLE_LINK48"/>
      <w:r/>
      <w:bookmarkStart w:id="25" w:name="OLE_LINK49"/>
      <w:r/>
      <w:bookmarkStart w:id="26" w:name="OLE_LINK51"/>
      <w:r/>
      <w:bookmarkStart w:id="27" w:name="OLE_LINK50"/>
      <w:r>
        <w:rPr>
          <w:rFonts w:hint="eastAsia" w:ascii="宋体" w:hAnsi="宋体" w:eastAsia="宋体" w:cs="Times New Roman"/>
          <w:bCs/>
          <w:sz w:val="24"/>
          <w:szCs w:val="24"/>
        </w:rPr>
        <w:t xml:space="preserve">中标单位</w:t>
      </w:r>
      <w:bookmarkEnd w:id="24"/>
      <w:r/>
      <w:bookmarkEnd w:id="25"/>
      <w:r>
        <w:rPr>
          <w:rFonts w:hint="eastAsia" w:ascii="宋体" w:hAnsi="宋体" w:eastAsia="宋体" w:cs="Times New Roman"/>
          <w:bCs/>
          <w:sz w:val="24"/>
          <w:szCs w:val="24"/>
        </w:rPr>
        <w:t xml:space="preserve">家具交货时，需包装完整无损坏，提供产品保修单、装箱单以及产品的 主要材料、五金配件的质检报告、产品的合格证、符合环保要求的证明。家具安装结束后还需提供环评部门出具的环</w:t>
      </w:r>
      <w:r>
        <w:rPr>
          <w:rFonts w:hint="eastAsia" w:ascii="宋体" w:hAnsi="宋体" w:eastAsia="宋体" w:cs="Times New Roman"/>
          <w:bCs/>
          <w:sz w:val="24"/>
          <w:szCs w:val="24"/>
        </w:rPr>
        <w:t xml:space="preserve">评质量</w:t>
      </w:r>
      <w:r>
        <w:rPr>
          <w:rFonts w:hint="eastAsia" w:ascii="宋体" w:hAnsi="宋体" w:eastAsia="宋体" w:cs="Times New Roman"/>
          <w:bCs/>
          <w:sz w:val="24"/>
          <w:szCs w:val="24"/>
        </w:rPr>
        <w:t xml:space="preserve">检测报告（一个月之内）。</w:t>
      </w:r>
      <w:bookmarkEnd w:id="26"/>
      <w:r/>
      <w:bookmarkEnd w:id="27"/>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w:t>
      </w:r>
      <w:bookmarkStart w:id="28" w:name="OLE_LINK52"/>
      <w:r/>
      <w:bookmarkStart w:id="29" w:name="OLE_LINK54"/>
      <w:r/>
      <w:bookmarkStart w:id="30" w:name="OLE_LINK53"/>
      <w:r>
        <w:rPr>
          <w:rFonts w:hint="eastAsia" w:ascii="宋体" w:hAnsi="宋体" w:eastAsia="宋体" w:cs="Times New Roman"/>
          <w:bCs/>
          <w:sz w:val="24"/>
          <w:szCs w:val="24"/>
        </w:rPr>
        <w:t xml:space="preserve">货物保管：货物到达采购单位地址至验收合格期间，由中标单位负责保管，运输费、保险费、包装费、保管费等由中标单位承担。若因保管不当造成的质量问题，中标单位负责修理，同时相关费用由中标单位承担；货物经验收合格后即由采购单位负责保管，若因保管不当造成的质量问题，中标单位应负责修理，相关费用由采购单位承担。</w:t>
      </w:r>
      <w:bookmarkEnd w:id="28"/>
      <w:r/>
      <w:bookmarkEnd w:id="29"/>
      <w:r/>
      <w:bookmarkEnd w:id="30"/>
      <w:r/>
      <w:r/>
    </w:p>
    <w:p>
      <w:pPr>
        <w:ind w:firstLine="480"/>
        <w:spacing w:line="400" w:lineRule="exact"/>
        <w:rPr>
          <w:rFonts w:ascii="宋体" w:hAnsi="宋体" w:eastAsia="宋体" w:cs="Calibri Light"/>
          <w:sz w:val="24"/>
          <w:szCs w:val="24"/>
        </w:rPr>
      </w:pPr>
      <w:r>
        <w:rPr>
          <w:rFonts w:hint="eastAsia" w:ascii="宋体" w:hAnsi="宋体" w:eastAsia="宋体" w:cs="Calibri Light"/>
          <w:sz w:val="24"/>
          <w:szCs w:val="24"/>
        </w:rPr>
        <w:t xml:space="preserve">9、凡涉及招标文件的补充说明或修正，均以江阴市政府采购中心书面依据为准。</w:t>
      </w:r>
      <w:r/>
    </w:p>
    <w:p>
      <w:pPr>
        <w:ind w:firstLine="480"/>
        <w:spacing w:line="400" w:lineRule="exact"/>
        <w:rPr>
          <w:rFonts w:ascii="宋体" w:hAnsi="宋体" w:eastAsia="宋体" w:cs="Calibri Light"/>
          <w:sz w:val="24"/>
          <w:szCs w:val="24"/>
        </w:rPr>
      </w:pPr>
      <w:r>
        <w:rPr>
          <w:rFonts w:hint="eastAsia" w:ascii="宋体" w:hAnsi="宋体" w:eastAsia="宋体" w:cs="Calibri Light"/>
          <w:sz w:val="24"/>
          <w:szCs w:val="24"/>
        </w:rPr>
        <w:t xml:space="preserve">10、江阴市政府采购中心对本次招标结果不作任何解释。</w:t>
      </w:r>
      <w:r/>
    </w:p>
    <w:p>
      <w:pPr>
        <w:jc w:val="center"/>
        <w:spacing w:line="400" w:lineRule="exact"/>
        <w:tabs>
          <w:tab w:val="left" w:pos="0" w:leader="none"/>
        </w:tabs>
        <w:rPr>
          <w:rFonts w:ascii="黑体" w:hAnsi="黑体" w:eastAsia="黑体" w:cs="Times New Roman"/>
          <w:bCs/>
          <w:sz w:val="30"/>
          <w:szCs w:val="30"/>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bCs/>
          <w:sz w:val="30"/>
          <w:szCs w:val="30"/>
        </w:rPr>
      </w:r>
      <w:r/>
    </w:p>
    <w:p>
      <w:pPr>
        <w:jc w:val="center"/>
        <w:spacing w:line="400" w:lineRule="exact"/>
        <w:tabs>
          <w:tab w:val="left" w:pos="0" w:leader="none"/>
        </w:tabs>
        <w:rPr>
          <w:rFonts w:ascii="黑体" w:hAnsi="黑体" w:eastAsia="黑体" w:cs="Times New Roman"/>
          <w:bCs/>
          <w:sz w:val="30"/>
          <w:szCs w:val="30"/>
        </w:rPr>
      </w:pPr>
      <w:r>
        <w:rPr>
          <w:rFonts w:ascii="黑体" w:hAnsi="黑体" w:eastAsia="黑体" w:cs="Times New Roman"/>
          <w:bCs/>
          <w:sz w:val="30"/>
          <w:szCs w:val="30"/>
        </w:rPr>
      </w:r>
      <w:r/>
    </w:p>
    <w:p>
      <w:pPr>
        <w:pStyle w:val="948"/>
      </w:pPr>
      <w:r/>
      <w:bookmarkStart w:id="31" w:name="_Toc213847316"/>
      <w:r>
        <w:rPr>
          <w:rFonts w:hint="eastAsia"/>
        </w:rPr>
        <w:t xml:space="preserve">第四章</w:t>
      </w:r>
      <w:r>
        <w:rPr>
          <w:rFonts w:hint="eastAsia"/>
        </w:rPr>
        <w:t xml:space="preserve">  </w:t>
      </w:r>
      <w:r>
        <w:rPr>
          <w:rFonts w:hint="eastAsia"/>
        </w:rPr>
        <w:t xml:space="preserve">评标方法和评标标准</w:t>
      </w:r>
      <w:bookmarkEnd w:id="31"/>
      <w:r/>
      <w:r/>
    </w:p>
    <w:p>
      <w:pPr>
        <w:ind w:firstLine="480"/>
        <w:spacing w:line="400" w:lineRule="exact"/>
        <w:rPr>
          <w:rFonts w:ascii="宋体" w:hAnsi="宋体" w:eastAsia="宋体" w:cs="Times New Roman"/>
          <w:sz w:val="24"/>
        </w:rPr>
      </w:pPr>
      <w:r>
        <w:rPr>
          <w:rFonts w:ascii="宋体" w:hAnsi="宋体" w:eastAsia="宋体" w:cs="Times New Roman"/>
          <w:sz w:val="24"/>
        </w:rPr>
      </w:r>
      <w:r/>
    </w:p>
    <w:p>
      <w:pPr>
        <w:jc w:val="left"/>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本次评审采用综合评标法，</w:t>
      </w:r>
      <w:r>
        <w:rPr>
          <w:rFonts w:ascii="宋体" w:hAnsi="宋体" w:eastAsia="宋体" w:cs="Times New Roman"/>
          <w:sz w:val="24"/>
        </w:rPr>
        <w:t xml:space="preserve">是指投标文件满足招标文件全部实质性要求，</w:t>
      </w:r>
      <w:r>
        <w:rPr>
          <w:rFonts w:ascii="宋体" w:hAnsi="宋体" w:eastAsia="宋体" w:cs="Times New Roman"/>
          <w:sz w:val="24"/>
        </w:rPr>
        <w:t xml:space="preserve">且按照</w:t>
      </w:r>
      <w:r>
        <w:rPr>
          <w:rFonts w:ascii="宋体" w:hAnsi="宋体" w:eastAsia="宋体" w:cs="Times New Roman"/>
          <w:sz w:val="24"/>
        </w:rPr>
        <w:t xml:space="preserve">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jc w:val="left"/>
        <w:spacing w:line="400" w:lineRule="exact"/>
        <w:rPr>
          <w:rFonts w:ascii="宋体" w:hAnsi="宋体" w:eastAsia="宋体" w:cs="Times New Roman"/>
          <w:b/>
          <w:sz w:val="24"/>
        </w:rPr>
      </w:pPr>
      <w:r>
        <w:rPr>
          <w:rFonts w:ascii="宋体" w:hAnsi="宋体" w:eastAsia="宋体" w:cs="Times New Roman"/>
          <w:b/>
          <w:sz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bookmarkEnd w:id="11"/>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101"/>
        <w:gridCol w:w="708"/>
        <w:gridCol w:w="1276"/>
        <w:gridCol w:w="5848"/>
        <w:gridCol w:w="695"/>
      </w:tblGrid>
      <w:tr>
        <w:trPr>
          <w:jc w:val="center"/>
          <w:trHeight w:val="20"/>
        </w:trPr>
        <w:tc>
          <w:tcPr>
            <w:tcW w:w="1101" w:type="dxa"/>
            <w:vAlign w:val="center"/>
            <w:textDirection w:val="lrTb"/>
            <w:noWrap w:val="false"/>
          </w:tcPr>
          <w:p>
            <w:pPr>
              <w:jc w:val="center"/>
              <w:spacing w:line="400" w:lineRule="exact"/>
              <w:rPr>
                <w:rFonts w:ascii="宋体" w:hAnsi="宋体" w:eastAsia="宋体" w:cstheme="minorEastAsia"/>
                <w:b/>
                <w:sz w:val="24"/>
                <w:szCs w:val="24"/>
              </w:rPr>
            </w:pPr>
            <w:r/>
            <w:bookmarkStart w:id="32" w:name="_Hlk204865927"/>
            <w:r>
              <w:rPr>
                <w:rFonts w:hint="eastAsia" w:ascii="宋体" w:hAnsi="宋体" w:eastAsia="宋体" w:cstheme="minorEastAsia"/>
                <w:b/>
                <w:sz w:val="24"/>
                <w:szCs w:val="24"/>
              </w:rPr>
              <w:t xml:space="preserve">评分项</w:t>
            </w:r>
            <w:r/>
          </w:p>
        </w:tc>
        <w:tc>
          <w:tcPr>
            <w:tcW w:w="708" w:type="dxa"/>
            <w:vAlign w:val="center"/>
            <w:textDirection w:val="lrTb"/>
            <w:noWrap w:val="false"/>
          </w:tcPr>
          <w:p>
            <w:pPr>
              <w:jc w:val="center"/>
              <w:spacing w:line="400" w:lineRule="exact"/>
              <w:rPr>
                <w:rFonts w:ascii="宋体" w:hAnsi="宋体" w:eastAsia="宋体" w:cstheme="minorEastAsia"/>
                <w:b/>
                <w:sz w:val="24"/>
                <w:szCs w:val="24"/>
              </w:rPr>
            </w:pPr>
            <w:r>
              <w:rPr>
                <w:rFonts w:hint="eastAsia" w:ascii="宋体" w:hAnsi="宋体" w:eastAsia="宋体" w:cstheme="minorEastAsia"/>
                <w:b/>
                <w:sz w:val="24"/>
                <w:szCs w:val="24"/>
              </w:rPr>
              <w:t xml:space="preserve">序号</w:t>
            </w:r>
            <w:r/>
          </w:p>
        </w:tc>
        <w:tc>
          <w:tcPr>
            <w:tcW w:w="1276" w:type="dxa"/>
            <w:vAlign w:val="center"/>
            <w:textDirection w:val="lrTb"/>
            <w:noWrap w:val="false"/>
          </w:tcPr>
          <w:p>
            <w:pPr>
              <w:jc w:val="center"/>
              <w:spacing w:line="400" w:lineRule="exact"/>
              <w:rPr>
                <w:rFonts w:ascii="宋体" w:hAnsi="宋体" w:eastAsia="宋体" w:cstheme="minorEastAsia"/>
                <w:b/>
                <w:sz w:val="24"/>
                <w:szCs w:val="24"/>
              </w:rPr>
            </w:pPr>
            <w:r>
              <w:rPr>
                <w:rFonts w:hint="eastAsia" w:ascii="宋体" w:hAnsi="宋体" w:eastAsia="宋体" w:cstheme="minorEastAsia"/>
                <w:b/>
                <w:sz w:val="24"/>
                <w:szCs w:val="24"/>
              </w:rPr>
              <w:t xml:space="preserve">评分因素</w:t>
            </w:r>
            <w:r/>
          </w:p>
        </w:tc>
        <w:tc>
          <w:tcPr>
            <w:tcW w:w="5848" w:type="dxa"/>
            <w:vAlign w:val="center"/>
            <w:textDirection w:val="lrTb"/>
            <w:noWrap w:val="false"/>
          </w:tcPr>
          <w:p>
            <w:pPr>
              <w:jc w:val="center"/>
              <w:spacing w:line="400" w:lineRule="exact"/>
              <w:rPr>
                <w:rFonts w:ascii="宋体" w:hAnsi="宋体" w:eastAsia="宋体" w:cstheme="minorEastAsia"/>
                <w:b/>
                <w:sz w:val="24"/>
                <w:szCs w:val="24"/>
              </w:rPr>
            </w:pPr>
            <w:r>
              <w:rPr>
                <w:rFonts w:hint="eastAsia" w:ascii="宋体" w:hAnsi="宋体" w:eastAsia="宋体" w:cstheme="minorEastAsia"/>
                <w:b/>
                <w:sz w:val="24"/>
                <w:szCs w:val="24"/>
              </w:rPr>
              <w:t xml:space="preserve">评分细则</w:t>
            </w:r>
            <w:r/>
          </w:p>
        </w:tc>
        <w:tc>
          <w:tcPr>
            <w:tcW w:w="695" w:type="dxa"/>
            <w:vAlign w:val="center"/>
            <w:textDirection w:val="lrTb"/>
            <w:noWrap w:val="false"/>
          </w:tcPr>
          <w:p>
            <w:pPr>
              <w:jc w:val="center"/>
              <w:spacing w:line="400" w:lineRule="exact"/>
              <w:rPr>
                <w:rFonts w:ascii="宋体" w:hAnsi="宋体" w:eastAsia="宋体" w:cstheme="minorEastAsia"/>
                <w:b/>
                <w:sz w:val="24"/>
                <w:szCs w:val="24"/>
              </w:rPr>
            </w:pPr>
            <w:r>
              <w:rPr>
                <w:rFonts w:hint="eastAsia" w:ascii="宋体" w:hAnsi="宋体" w:eastAsia="宋体" w:cstheme="minorEastAsia"/>
                <w:b/>
                <w:sz w:val="24"/>
                <w:szCs w:val="24"/>
              </w:rPr>
              <w:t xml:space="preserve">分值</w:t>
            </w:r>
            <w:r/>
          </w:p>
        </w:tc>
      </w:tr>
      <w:tr>
        <w:trPr>
          <w:jc w:val="center"/>
          <w:trHeight w:val="20"/>
        </w:trPr>
        <w:tc>
          <w:tcPr>
            <w:tcW w:w="1101" w:type="dxa"/>
            <w:vAlign w:val="center"/>
            <w:textDirection w:val="lrTb"/>
            <w:noWrap w:val="false"/>
          </w:tcPr>
          <w:p>
            <w:pPr>
              <w:jc w:val="center"/>
              <w:spacing w:line="400" w:lineRule="exact"/>
              <w:rPr>
                <w:rFonts w:ascii="宋体" w:hAnsi="宋体" w:eastAsia="宋体" w:cstheme="minorEastAsia"/>
                <w:sz w:val="24"/>
                <w:szCs w:val="24"/>
              </w:rPr>
            </w:pPr>
            <w:r/>
            <w:bookmarkStart w:id="33" w:name="_Hlk204865950"/>
            <w:r/>
            <w:bookmarkEnd w:id="32"/>
            <w:r>
              <w:rPr>
                <w:rFonts w:hint="eastAsia" w:ascii="宋体" w:hAnsi="宋体" w:eastAsia="宋体" w:cstheme="minorEastAsia"/>
                <w:sz w:val="24"/>
                <w:szCs w:val="24"/>
              </w:rPr>
              <w:t xml:space="preserve">一、价格部分</w:t>
            </w:r>
            <w:r/>
          </w:p>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（30分）</w:t>
            </w:r>
            <w:r/>
          </w:p>
        </w:tc>
        <w:tc>
          <w:tcPr>
            <w:tcW w:w="708"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1.1</w:t>
            </w:r>
            <w:r/>
          </w:p>
        </w:tc>
        <w:tc>
          <w:tcPr>
            <w:tcW w:w="1276"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投标报价</w:t>
            </w:r>
            <w:r/>
          </w:p>
        </w:tc>
        <w:tc>
          <w:tcPr>
            <w:tcW w:w="5848" w:type="dxa"/>
            <w:vAlign w:val="center"/>
            <w:textDirection w:val="lrTb"/>
            <w:noWrap w:val="false"/>
          </w:tcPr>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满足招标文件要求且投标报价最低的投标报价为评标基准价，其价格分为满分。其他投标人的价格</w:t>
            </w:r>
            <w:r>
              <w:rPr>
                <w:rFonts w:hint="eastAsia" w:ascii="宋体" w:hAnsi="宋体" w:eastAsia="宋体" w:cstheme="minorEastAsia"/>
                <w:sz w:val="24"/>
                <w:szCs w:val="24"/>
              </w:rPr>
              <w:t xml:space="preserve">分统一</w:t>
            </w:r>
            <w:r>
              <w:rPr>
                <w:rFonts w:hint="eastAsia" w:ascii="宋体" w:hAnsi="宋体" w:eastAsia="宋体" w:cstheme="minorEastAsia"/>
                <w:sz w:val="24"/>
                <w:szCs w:val="24"/>
              </w:rPr>
              <w:t xml:space="preserve">按照下列公式计算：</w:t>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投标报价得分＝（评标基准价/投标报价）×30分</w:t>
            </w:r>
            <w:r/>
          </w:p>
        </w:tc>
        <w:tc>
          <w:tcPr>
            <w:tcW w:w="695"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30</w:t>
            </w:r>
            <w:r/>
          </w:p>
        </w:tc>
      </w:tr>
      <w:tr>
        <w:trPr>
          <w:jc w:val="center"/>
          <w:trHeight w:val="20"/>
        </w:trPr>
        <w:tc>
          <w:tcPr>
            <w:tcW w:w="1101" w:type="dxa"/>
            <w:vAlign w:val="center"/>
            <w:vMerge w:val="restart"/>
            <w:textDirection w:val="lrTb"/>
            <w:noWrap w:val="false"/>
          </w:tcPr>
          <w:p>
            <w:pPr>
              <w:jc w:val="center"/>
              <w:spacing w:line="400" w:lineRule="exact"/>
              <w:rPr>
                <w:rFonts w:ascii="宋体" w:hAnsi="宋体" w:eastAsia="宋体" w:cstheme="minorEastAsia"/>
                <w:sz w:val="24"/>
                <w:szCs w:val="24"/>
              </w:rPr>
            </w:pPr>
            <w:r/>
            <w:bookmarkStart w:id="34" w:name="OLE_LINK63"/>
            <w:r/>
            <w:bookmarkStart w:id="35" w:name="OLE_LINK64"/>
            <w:r/>
            <w:bookmarkStart w:id="36" w:name="OLE_LINK67"/>
            <w:r/>
            <w:bookmarkStart w:id="37" w:name="OLE_LINK68"/>
            <w:r/>
            <w:bookmarkStart w:id="38" w:name="_Hlk192841134"/>
            <w:r/>
            <w:bookmarkEnd w:id="33"/>
            <w:r>
              <w:rPr>
                <w:rFonts w:hint="eastAsia" w:ascii="宋体" w:hAnsi="宋体" w:eastAsia="宋体" w:cstheme="minorEastAsia"/>
                <w:sz w:val="24"/>
                <w:szCs w:val="24"/>
              </w:rPr>
              <w:t xml:space="preserve">二、技术部分</w:t>
            </w:r>
            <w:r/>
          </w:p>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w:t>
            </w:r>
            <w:r>
              <w:rPr>
                <w:rFonts w:hint="eastAsia" w:ascii="宋体" w:hAnsi="宋体" w:eastAsia="宋体" w:cstheme="minorEastAsia"/>
                <w:sz w:val="24"/>
                <w:szCs w:val="24"/>
              </w:rPr>
              <w:t xml:space="preserve">50</w:t>
            </w:r>
            <w:r>
              <w:rPr>
                <w:rFonts w:hint="eastAsia" w:ascii="宋体" w:hAnsi="宋体" w:eastAsia="宋体" w:cstheme="minorEastAsia"/>
                <w:sz w:val="24"/>
                <w:szCs w:val="24"/>
              </w:rPr>
              <w:t xml:space="preserve">分）</w:t>
            </w:r>
            <w:bookmarkEnd w:id="34"/>
            <w:r/>
            <w:bookmarkEnd w:id="35"/>
            <w:r/>
            <w:bookmarkEnd w:id="36"/>
            <w:r/>
            <w:bookmarkEnd w:id="37"/>
            <w:r/>
            <w:r/>
          </w:p>
        </w:tc>
        <w:tc>
          <w:tcPr>
            <w:tcW w:w="708"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2.1</w:t>
            </w:r>
            <w:r/>
          </w:p>
        </w:tc>
        <w:tc>
          <w:tcPr>
            <w:tcW w:w="1276"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检测报告</w:t>
            </w:r>
            <w:r/>
          </w:p>
        </w:tc>
        <w:tc>
          <w:tcPr>
            <w:tcW w:w="5848" w:type="dxa"/>
            <w:vAlign w:val="center"/>
            <w:textDirection w:val="lrTb"/>
            <w:noWrap w:val="false"/>
          </w:tcPr>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投标人或投标产品生产厂家具有2022年1月1日之后由第三方权威检测机构出具的带有CMA或CNAS标识的相关合格检测报告：</w:t>
            </w:r>
            <w:r/>
          </w:p>
          <w:p>
            <w:pPr>
              <w:spacing w:line="400" w:lineRule="exact"/>
              <w:rPr>
                <w:rFonts w:ascii="宋体" w:hAnsi="宋体" w:eastAsia="宋体" w:cstheme="minorEastAsia"/>
                <w:sz w:val="24"/>
                <w:szCs w:val="24"/>
              </w:rPr>
            </w:pPr>
            <w:r>
              <w:rPr>
                <w:rFonts w:hint="eastAsia" w:ascii="宋体" w:hAnsi="宋体" w:eastAsia="宋体" w:cs="Times New Roman"/>
                <w:b/>
                <w:bCs/>
                <w:sz w:val="24"/>
                <w:szCs w:val="24"/>
              </w:rPr>
              <w:t xml:space="preserve">1、环保塑料（PP塑料）</w:t>
            </w:r>
            <w:r>
              <w:rPr>
                <w:rFonts w:hint="eastAsia" w:ascii="宋体" w:hAnsi="宋体" w:eastAsia="宋体" w:cstheme="minorEastAsia"/>
                <w:sz w:val="24"/>
                <w:szCs w:val="24"/>
              </w:rPr>
              <w:t xml:space="preserve">：</w:t>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检测依据为</w:t>
            </w:r>
            <w:r>
              <w:rPr>
                <w:rFonts w:hint="eastAsia" w:ascii="宋体" w:hAnsi="宋体" w:cs="宋体"/>
                <w:sz w:val="24"/>
                <w:szCs w:val="24"/>
              </w:rPr>
              <w:t xml:space="preserve">GB </w:t>
            </w:r>
            <w:bookmarkStart w:id="39" w:name="OLE_LINK2"/>
            <w:r/>
            <w:bookmarkStart w:id="40" w:name="OLE_LINK1"/>
            <w:r>
              <w:rPr>
                <w:rFonts w:hint="eastAsia" w:ascii="宋体" w:hAnsi="宋体" w:cs="宋体"/>
                <w:sz w:val="24"/>
                <w:szCs w:val="24"/>
              </w:rPr>
              <w:t xml:space="preserve">6675.1</w:t>
            </w:r>
            <w:bookmarkEnd w:id="39"/>
            <w:r/>
            <w:bookmarkEnd w:id="40"/>
            <w:r>
              <w:rPr>
                <w:rFonts w:hint="eastAsia" w:ascii="宋体" w:hAnsi="宋体" w:cs="宋体"/>
                <w:sz w:val="24"/>
                <w:szCs w:val="24"/>
              </w:rPr>
              <w:t xml:space="preserve">，</w:t>
            </w:r>
            <w:r>
              <w:rPr>
                <w:rFonts w:hint="eastAsia" w:ascii="宋体" w:hAnsi="宋体" w:eastAsia="宋体" w:cstheme="minorEastAsia"/>
                <w:sz w:val="24"/>
                <w:szCs w:val="24"/>
              </w:rPr>
              <w:t xml:space="preserve">检测内容同时包含6种增塑剂含量（DBP、BBP、DEHP、DNOP、DINP、DIDP）及</w:t>
            </w:r>
            <w:r>
              <w:rPr>
                <w:rFonts w:hint="eastAsia" w:ascii="宋体" w:hAnsi="宋体" w:cs="宋体"/>
                <w:sz w:val="24"/>
                <w:szCs w:val="24"/>
              </w:rPr>
              <w:t xml:space="preserve">可迁移元素最大限量</w:t>
            </w:r>
            <w:r>
              <w:rPr>
                <w:rFonts w:hint="eastAsia" w:ascii="宋体" w:hAnsi="宋体" w:eastAsia="宋体" w:cstheme="minorEastAsia"/>
                <w:sz w:val="24"/>
                <w:szCs w:val="24"/>
              </w:rPr>
              <w:t xml:space="preserve">检测的，得1分；</w:t>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检测依据为</w:t>
            </w:r>
            <w:r>
              <w:rPr>
                <w:rFonts w:hint="eastAsia" w:ascii="宋体" w:hAnsi="宋体" w:cs="宋体"/>
                <w:sz w:val="24"/>
                <w:szCs w:val="24"/>
              </w:rPr>
              <w:t xml:space="preserve">GB/T 16422.2，</w:t>
            </w:r>
            <w:r>
              <w:rPr>
                <w:rFonts w:hint="eastAsia" w:ascii="宋体" w:hAnsi="宋体" w:eastAsia="宋体" w:cstheme="minorEastAsia"/>
                <w:sz w:val="24"/>
                <w:szCs w:val="24"/>
              </w:rPr>
              <w:t xml:space="preserve">检测内容包含</w:t>
            </w:r>
            <w:r>
              <w:rPr>
                <w:rFonts w:hint="eastAsia" w:ascii="宋体" w:hAnsi="宋体" w:cs="宋体"/>
                <w:sz w:val="24"/>
                <w:szCs w:val="24"/>
              </w:rPr>
              <w:t xml:space="preserve">氙灯老化测试</w:t>
            </w:r>
            <w:r>
              <w:rPr>
                <w:rFonts w:hint="eastAsia" w:ascii="宋体" w:hAnsi="宋体" w:eastAsia="宋体" w:cstheme="minorEastAsia"/>
                <w:sz w:val="24"/>
                <w:szCs w:val="24"/>
              </w:rPr>
              <w:t xml:space="preserve">的，得1分；</w:t>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总计得2分。</w:t>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2、水性漆：</w:t>
            </w:r>
            <w:r/>
          </w:p>
          <w:p>
            <w:pPr>
              <w:spacing w:line="400" w:lineRule="exact"/>
              <w:rPr>
                <w:rFonts w:ascii="宋体" w:hAnsi="宋体" w:eastAsia="宋体" w:cstheme="minorEastAsia"/>
                <w:sz w:val="24"/>
                <w:szCs w:val="24"/>
              </w:rPr>
            </w:pPr>
            <w:r>
              <w:rPr>
                <w:rFonts w:hint="eastAsia" w:ascii="宋体" w:hAnsi="宋体" w:eastAsia="宋体" w:cs="宋体"/>
                <w:sz w:val="24"/>
                <w:szCs w:val="24"/>
              </w:rPr>
              <w:t xml:space="preserve">检测依据为</w:t>
            </w:r>
            <w:r>
              <w:rPr>
                <w:rFonts w:hint="eastAsia" w:ascii="宋体" w:hAnsi="宋体" w:eastAsia="宋体" w:cstheme="minorEastAsia"/>
                <w:sz w:val="24"/>
                <w:szCs w:val="24"/>
              </w:rPr>
              <w:t xml:space="preserve">GB/T1732，检测内容包含漆膜耐冲击试验的，得1分；</w:t>
            </w:r>
            <w:r/>
          </w:p>
          <w:p>
            <w:pPr>
              <w:spacing w:line="400" w:lineRule="exact"/>
              <w:rPr>
                <w:rFonts w:ascii="宋体" w:hAnsi="宋体" w:eastAsia="宋体" w:cstheme="minorEastAsia"/>
                <w:sz w:val="24"/>
                <w:szCs w:val="24"/>
              </w:rPr>
            </w:pPr>
            <w:r>
              <w:rPr>
                <w:rFonts w:hint="eastAsia" w:ascii="宋体" w:hAnsi="宋体" w:eastAsia="宋体" w:cs="宋体"/>
                <w:sz w:val="24"/>
                <w:szCs w:val="24"/>
              </w:rPr>
              <w:t xml:space="preserve">检测依据为</w:t>
            </w:r>
            <w:r>
              <w:rPr>
                <w:rFonts w:hint="eastAsia" w:ascii="宋体" w:hAnsi="宋体" w:eastAsia="宋体" w:cstheme="minorEastAsia"/>
                <w:sz w:val="24"/>
                <w:szCs w:val="24"/>
              </w:rPr>
              <w:t xml:space="preserve">GB/T21609，检测内容包含急性眼刺激性/</w:t>
            </w:r>
            <w:r>
              <w:rPr>
                <w:rFonts w:hint="eastAsia" w:ascii="宋体" w:hAnsi="宋体" w:eastAsia="宋体" w:cstheme="minorEastAsia"/>
                <w:sz w:val="24"/>
                <w:szCs w:val="24"/>
              </w:rPr>
              <w:t xml:space="preserve">腐蚀性试验（染毒后1H、24H、48H和72H观察均未观察到染毒眼有刺激象征）的，得1分；</w:t>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检测依据为GB/T9286，检测内容包含划格试验为0级的，得1分；</w:t>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总计得</w:t>
            </w:r>
            <w:r>
              <w:rPr>
                <w:rFonts w:hint="eastAsia" w:ascii="宋体" w:hAnsi="宋体" w:eastAsia="宋体" w:cstheme="minorEastAsia"/>
                <w:sz w:val="24"/>
                <w:szCs w:val="24"/>
              </w:rPr>
              <w:t xml:space="preserve">3</w:t>
            </w:r>
            <w:r>
              <w:rPr>
                <w:rFonts w:hint="eastAsia" w:ascii="宋体" w:hAnsi="宋体" w:eastAsia="宋体" w:cstheme="minorEastAsia"/>
                <w:sz w:val="24"/>
                <w:szCs w:val="24"/>
              </w:rPr>
              <w:t xml:space="preserve">分。</w:t>
            </w:r>
            <w:r/>
          </w:p>
          <w:p>
            <w:pPr>
              <w:numPr>
                <w:ilvl w:val="0"/>
                <w:numId w:val="44"/>
              </w:numPr>
              <w:spacing w:line="400" w:lineRule="exact"/>
              <w:rPr>
                <w:rFonts w:ascii="宋体" w:hAnsi="宋体" w:eastAsia="宋体" w:cstheme="minorEastAsia"/>
                <w:b/>
                <w:sz w:val="24"/>
                <w:szCs w:val="24"/>
              </w:rPr>
            </w:pPr>
            <w:r>
              <w:rPr>
                <w:rFonts w:hint="eastAsia" w:ascii="宋体" w:hAnsi="宋体" w:eastAsia="宋体" w:cstheme="minorEastAsia"/>
                <w:b/>
                <w:sz w:val="24"/>
                <w:szCs w:val="24"/>
              </w:rPr>
              <w:t xml:space="preserve">塑料连接件</w:t>
            </w:r>
            <w:r/>
          </w:p>
          <w:p>
            <w:pP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检测依据为GB/T 12000，检测内容同时包含在3个暴露循环试验（湿热暴露周期≥240h，水喷雾暴露周期≥240h，盐雾暴露周期≥240h）的，得</w:t>
            </w:r>
            <w:r>
              <w:rPr>
                <w:rFonts w:hint="eastAsia" w:ascii="宋体" w:hAnsi="宋体" w:eastAsia="宋体" w:cstheme="minorEastAsia"/>
                <w:bCs/>
                <w:sz w:val="24"/>
                <w:szCs w:val="24"/>
              </w:rPr>
              <w:t xml:space="preserve">1</w:t>
            </w:r>
            <w:r>
              <w:rPr>
                <w:rFonts w:hint="eastAsia" w:ascii="宋体" w:hAnsi="宋体" w:eastAsia="宋体" w:cstheme="minorEastAsia"/>
                <w:bCs/>
                <w:sz w:val="24"/>
                <w:szCs w:val="24"/>
              </w:rPr>
              <w:t xml:space="preserve">分。</w:t>
            </w:r>
            <w:r/>
          </w:p>
          <w:p>
            <w:pPr>
              <w:spacing w:line="400" w:lineRule="exact"/>
              <w:rPr>
                <w:rFonts w:ascii="宋体" w:hAnsi="宋体" w:eastAsia="宋体" w:cstheme="minorEastAsia"/>
                <w:sz w:val="24"/>
                <w:szCs w:val="24"/>
              </w:rPr>
            </w:pPr>
            <w:r>
              <w:rPr>
                <w:rFonts w:hint="eastAsia" w:ascii="宋体" w:hAnsi="宋体" w:eastAsia="宋体" w:cstheme="minorEastAsia"/>
                <w:b/>
                <w:sz w:val="24"/>
                <w:szCs w:val="24"/>
              </w:rPr>
              <w:t xml:space="preserve">4、波纹板</w:t>
            </w:r>
            <w:r>
              <w:rPr>
                <w:rFonts w:hint="eastAsia" w:ascii="宋体" w:hAnsi="宋体" w:eastAsia="宋体" w:cstheme="minorEastAsia"/>
                <w:sz w:val="24"/>
                <w:szCs w:val="24"/>
              </w:rPr>
              <w:t xml:space="preserve">：</w:t>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检测依据为</w:t>
            </w:r>
            <w:r>
              <w:rPr>
                <w:rFonts w:hint="eastAsia" w:ascii="宋体" w:hAnsi="宋体" w:cs="宋体"/>
                <w:sz w:val="24"/>
                <w:szCs w:val="24"/>
              </w:rPr>
              <w:t xml:space="preserve">GB 6675.1，</w:t>
            </w:r>
            <w:r>
              <w:rPr>
                <w:rFonts w:hint="eastAsia" w:ascii="宋体" w:hAnsi="宋体" w:eastAsia="宋体" w:cstheme="minorEastAsia"/>
                <w:sz w:val="24"/>
                <w:szCs w:val="24"/>
              </w:rPr>
              <w:t xml:space="preserve">检测内容同时包含6种增塑剂含量（DBP、BBP、DEHP、DNOP、DINP、DIDP）及</w:t>
            </w:r>
            <w:r>
              <w:rPr>
                <w:rFonts w:hint="eastAsia" w:ascii="宋体" w:hAnsi="宋体" w:cs="宋体"/>
                <w:sz w:val="24"/>
                <w:szCs w:val="24"/>
              </w:rPr>
              <w:t xml:space="preserve">可迁移元素最大限量</w:t>
            </w:r>
            <w:r>
              <w:rPr>
                <w:rFonts w:hint="eastAsia" w:ascii="宋体" w:hAnsi="宋体" w:eastAsia="宋体" w:cstheme="minorEastAsia"/>
                <w:sz w:val="24"/>
                <w:szCs w:val="24"/>
              </w:rPr>
              <w:t xml:space="preserve">检测的，得2分。</w:t>
            </w:r>
            <w:r/>
          </w:p>
          <w:p>
            <w:pPr>
              <w:spacing w:line="400" w:lineRule="exact"/>
              <w:rPr>
                <w:rFonts w:ascii="宋体" w:hAnsi="宋体" w:eastAsia="宋体" w:cstheme="minorEastAsia"/>
                <w:sz w:val="24"/>
                <w:szCs w:val="24"/>
              </w:rPr>
            </w:pPr>
            <w:r>
              <w:rPr>
                <w:rFonts w:hint="eastAsia" w:ascii="宋体" w:hAnsi="宋体" w:eastAsia="宋体" w:cstheme="minorEastAsia"/>
                <w:b/>
                <w:sz w:val="24"/>
                <w:szCs w:val="24"/>
              </w:rPr>
              <w:t xml:space="preserve">5、幼儿桌</w:t>
            </w:r>
            <w:r>
              <w:rPr>
                <w:rFonts w:hint="eastAsia" w:ascii="宋体" w:hAnsi="宋体" w:eastAsia="宋体" w:cstheme="minorEastAsia"/>
                <w:sz w:val="24"/>
                <w:szCs w:val="24"/>
              </w:rPr>
              <w:t xml:space="preserve">：</w:t>
            </w:r>
            <w:r/>
          </w:p>
          <w:p>
            <w:pPr>
              <w:spacing w:line="400" w:lineRule="exact"/>
              <w:rPr>
                <w:rFonts w:ascii="宋体" w:hAnsi="宋体" w:eastAsia="宋体" w:cstheme="minorEastAsia"/>
                <w:sz w:val="24"/>
                <w:szCs w:val="24"/>
              </w:rPr>
            </w:pPr>
            <w:r/>
            <w:bookmarkStart w:id="41" w:name="OLE_LINK72"/>
            <w:r/>
            <w:bookmarkStart w:id="42" w:name="OLE_LINK71"/>
            <w:r>
              <w:rPr>
                <w:rFonts w:hint="eastAsia" w:ascii="宋体" w:hAnsi="宋体" w:eastAsia="宋体" w:cstheme="minorEastAsia"/>
                <w:sz w:val="24"/>
                <w:szCs w:val="24"/>
              </w:rPr>
              <w:t xml:space="preserve">检测依据为</w:t>
            </w:r>
            <w:bookmarkEnd w:id="41"/>
            <w:r/>
            <w:bookmarkEnd w:id="42"/>
            <w:r>
              <w:rPr>
                <w:rFonts w:ascii="宋体" w:hAnsi="宋体" w:eastAsia="宋体" w:cstheme="minorEastAsia"/>
                <w:sz w:val="24"/>
                <w:szCs w:val="24"/>
              </w:rPr>
              <w:t xml:space="preserve">GB/T 43002</w:t>
            </w:r>
            <w:r>
              <w:rPr>
                <w:rFonts w:hint="eastAsia" w:ascii="宋体" w:hAnsi="宋体" w:eastAsia="宋体" w:cstheme="minorEastAsia"/>
                <w:sz w:val="24"/>
                <w:szCs w:val="24"/>
              </w:rPr>
              <w:t xml:space="preserve">，</w:t>
            </w:r>
            <w:bookmarkStart w:id="43" w:name="OLE_LINK73"/>
            <w:r/>
            <w:bookmarkStart w:id="44" w:name="OLE_LINK74"/>
            <w:r>
              <w:rPr>
                <w:rFonts w:hint="eastAsia" w:ascii="宋体" w:hAnsi="宋体" w:eastAsia="宋体" w:cstheme="minorEastAsia"/>
                <w:sz w:val="24"/>
                <w:szCs w:val="24"/>
              </w:rPr>
              <w:t xml:space="preserve">检测内容</w:t>
            </w:r>
            <w:bookmarkEnd w:id="43"/>
            <w:r/>
            <w:bookmarkEnd w:id="44"/>
            <w:r>
              <w:rPr>
                <w:rFonts w:hint="eastAsia" w:ascii="宋体" w:hAnsi="宋体" w:eastAsia="宋体" w:cstheme="minorEastAsia"/>
                <w:sz w:val="24"/>
                <w:szCs w:val="24"/>
              </w:rPr>
              <w:t xml:space="preserve">同时包含</w:t>
            </w:r>
            <w:r>
              <w:rPr>
                <w:rFonts w:hint="eastAsia" w:ascii="宋体" w:hAnsi="宋体" w:eastAsia="宋体" w:cstheme="minorEastAsia"/>
                <w:sz w:val="24"/>
                <w:szCs w:val="24"/>
              </w:rPr>
              <w:t xml:space="preserve">外观要求（木制件外观、人造板件外观、塑料件外观、木工要求、漆膜外观要求）符合标准要求，桌台类力学性能（稳定性试验、强度和耐久性试验）符合标准要求的，得1分；</w:t>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检测依据为</w:t>
            </w:r>
            <w:r>
              <w:rPr>
                <w:rFonts w:ascii="宋体" w:hAnsi="宋体" w:eastAsia="宋体" w:cstheme="minorEastAsia"/>
                <w:sz w:val="24"/>
                <w:szCs w:val="24"/>
              </w:rPr>
              <w:t xml:space="preserve">GB/T 43002</w:t>
            </w:r>
            <w:r>
              <w:rPr>
                <w:rFonts w:hint="eastAsia" w:ascii="宋体" w:hAnsi="宋体" w:eastAsia="宋体" w:cstheme="minorEastAsia"/>
                <w:sz w:val="24"/>
                <w:szCs w:val="24"/>
              </w:rPr>
              <w:t xml:space="preserve">、</w:t>
            </w:r>
            <w:r>
              <w:rPr>
                <w:rFonts w:ascii="宋体" w:hAnsi="宋体" w:eastAsia="宋体" w:cstheme="minorEastAsia"/>
                <w:sz w:val="24"/>
                <w:szCs w:val="24"/>
              </w:rPr>
              <w:t xml:space="preserve">GB/T </w:t>
            </w:r>
            <w:r>
              <w:rPr>
                <w:rFonts w:hint="eastAsia" w:ascii="宋体" w:hAnsi="宋体" w:eastAsia="宋体" w:cstheme="minorEastAsia"/>
                <w:sz w:val="24"/>
                <w:szCs w:val="24"/>
              </w:rPr>
              <w:t xml:space="preserve">35607，检测内容</w:t>
            </w:r>
            <w:r>
              <w:rPr>
                <w:rFonts w:hint="eastAsia" w:ascii="宋体" w:hAnsi="宋体" w:eastAsia="宋体" w:cstheme="minorEastAsia"/>
                <w:sz w:val="24"/>
                <w:szCs w:val="24"/>
              </w:rPr>
              <w:t xml:space="preserve">同时包含</w:t>
            </w:r>
            <w:r>
              <w:rPr>
                <w:rFonts w:hint="eastAsia" w:ascii="宋体" w:hAnsi="宋体" w:eastAsia="宋体" w:cstheme="minorEastAsia"/>
                <w:sz w:val="24"/>
                <w:szCs w:val="24"/>
              </w:rPr>
              <w:t xml:space="preserve">甲醛、苯、甲苯、二甲苯、TVOC）释放量及其他物质释放量限量要求的，得1分；</w:t>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检测依据为</w:t>
            </w:r>
            <w:r>
              <w:rPr>
                <w:rFonts w:ascii="宋体" w:hAnsi="宋体" w:eastAsia="宋体" w:cstheme="minorEastAsia"/>
                <w:sz w:val="24"/>
                <w:szCs w:val="24"/>
              </w:rPr>
              <w:t xml:space="preserve">GB/T 43002</w:t>
            </w:r>
            <w:r>
              <w:rPr>
                <w:rFonts w:hint="eastAsia" w:ascii="宋体" w:hAnsi="宋体" w:eastAsia="宋体" w:cstheme="minorEastAsia"/>
                <w:sz w:val="24"/>
                <w:szCs w:val="24"/>
              </w:rPr>
              <w:t xml:space="preserve">、</w:t>
            </w:r>
            <w:r>
              <w:rPr>
                <w:rFonts w:ascii="宋体" w:hAnsi="宋体" w:eastAsia="宋体" w:cstheme="minorEastAsia"/>
                <w:sz w:val="24"/>
                <w:szCs w:val="24"/>
              </w:rPr>
              <w:t xml:space="preserve">GB</w:t>
            </w:r>
            <w:r>
              <w:rPr>
                <w:rFonts w:hint="eastAsia" w:ascii="宋体" w:hAnsi="宋体" w:cs="宋体"/>
                <w:sz w:val="24"/>
                <w:szCs w:val="24"/>
              </w:rPr>
              <w:t xml:space="preserve"> 6675.4</w:t>
            </w:r>
            <w:r>
              <w:rPr>
                <w:rFonts w:hint="eastAsia" w:ascii="宋体" w:hAnsi="宋体" w:eastAsia="宋体" w:cstheme="minorEastAsia"/>
                <w:sz w:val="24"/>
                <w:szCs w:val="24"/>
              </w:rPr>
              <w:t xml:space="preserve">，产品</w:t>
            </w:r>
            <w:r>
              <w:rPr>
                <w:rFonts w:hint="eastAsia" w:ascii="宋体" w:hAnsi="宋体" w:eastAsia="宋体" w:cstheme="minorEastAsia"/>
                <w:sz w:val="24"/>
                <w:szCs w:val="24"/>
              </w:rPr>
              <w:t xml:space="preserve">表面涂层</w:t>
            </w:r>
            <w:r>
              <w:rPr>
                <w:rFonts w:hint="eastAsia" w:ascii="宋体" w:hAnsi="宋体" w:eastAsia="宋体" w:cstheme="minorEastAsia"/>
                <w:sz w:val="24"/>
                <w:szCs w:val="24"/>
              </w:rPr>
              <w:t xml:space="preserve">可迁移元素</w:t>
            </w:r>
            <w:bookmarkStart w:id="45" w:name="OLE_LINK75"/>
            <w:r/>
            <w:bookmarkStart w:id="46" w:name="OLE_LINK76"/>
            <w:r>
              <w:rPr>
                <w:rFonts w:hint="eastAsia" w:ascii="宋体" w:hAnsi="宋体" w:eastAsia="宋体" w:cstheme="minorEastAsia"/>
                <w:sz w:val="24"/>
                <w:szCs w:val="24"/>
              </w:rPr>
              <w:t xml:space="preserve">测定的，得1分；</w:t>
            </w:r>
            <w:bookmarkEnd w:id="45"/>
            <w:r/>
            <w:bookmarkEnd w:id="46"/>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总计得</w:t>
            </w:r>
            <w:r>
              <w:rPr>
                <w:rFonts w:hint="eastAsia" w:ascii="宋体" w:hAnsi="宋体" w:eastAsia="宋体" w:cstheme="minorEastAsia"/>
                <w:sz w:val="24"/>
                <w:szCs w:val="24"/>
              </w:rPr>
              <w:t xml:space="preserve">3</w:t>
            </w:r>
            <w:r>
              <w:rPr>
                <w:rFonts w:hint="eastAsia" w:ascii="宋体" w:hAnsi="宋体" w:eastAsia="宋体" w:cstheme="minorEastAsia"/>
                <w:sz w:val="24"/>
                <w:szCs w:val="24"/>
              </w:rPr>
              <w:t xml:space="preserve">分。</w:t>
            </w:r>
            <w:r/>
          </w:p>
          <w:p>
            <w:pPr>
              <w:spacing w:line="400" w:lineRule="exact"/>
              <w:rPr>
                <w:rFonts w:ascii="宋体" w:hAnsi="宋体" w:eastAsia="宋体" w:cstheme="minorEastAsia"/>
                <w:sz w:val="24"/>
                <w:szCs w:val="24"/>
              </w:rPr>
            </w:pPr>
            <w:r>
              <w:rPr>
                <w:rFonts w:hint="eastAsia" w:ascii="宋体" w:hAnsi="宋体" w:eastAsia="宋体" w:cstheme="minorEastAsia"/>
                <w:b/>
                <w:sz w:val="24"/>
                <w:szCs w:val="24"/>
              </w:rPr>
              <w:t xml:space="preserve">6、幼儿柜</w:t>
            </w:r>
            <w:r>
              <w:rPr>
                <w:rFonts w:hint="eastAsia" w:ascii="宋体" w:hAnsi="宋体" w:eastAsia="宋体" w:cstheme="minorEastAsia"/>
                <w:sz w:val="24"/>
                <w:szCs w:val="24"/>
              </w:rPr>
              <w:t xml:space="preserve">：</w:t>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检测依据为GB/T 43002，检测内容同时包含外观要求（木制件外观、人造板件外观、塑料件外观、木工要求、漆膜外观要求）、柜类力学性能（强度和耐久性试验）符合标准要求的，得1分；</w:t>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检测依据为</w:t>
            </w:r>
            <w:r>
              <w:rPr>
                <w:rFonts w:ascii="宋体" w:hAnsi="宋体" w:eastAsia="宋体" w:cstheme="minorEastAsia"/>
                <w:sz w:val="24"/>
                <w:szCs w:val="24"/>
              </w:rPr>
              <w:t xml:space="preserve">GB/T 43002</w:t>
            </w:r>
            <w:r>
              <w:rPr>
                <w:rFonts w:hint="eastAsia" w:ascii="宋体" w:hAnsi="宋体" w:eastAsia="宋体" w:cstheme="minorEastAsia"/>
                <w:sz w:val="24"/>
                <w:szCs w:val="24"/>
              </w:rPr>
              <w:t xml:space="preserve">、</w:t>
            </w:r>
            <w:r>
              <w:rPr>
                <w:rFonts w:ascii="宋体" w:hAnsi="宋体" w:eastAsia="宋体" w:cstheme="minorEastAsia"/>
                <w:sz w:val="24"/>
                <w:szCs w:val="24"/>
              </w:rPr>
              <w:t xml:space="preserve">GB/T </w:t>
            </w:r>
            <w:r>
              <w:rPr>
                <w:rFonts w:hint="eastAsia" w:ascii="宋体" w:hAnsi="宋体" w:eastAsia="宋体" w:cstheme="minorEastAsia"/>
                <w:sz w:val="24"/>
                <w:szCs w:val="24"/>
              </w:rPr>
              <w:t xml:space="preserve">35607，检测内容</w:t>
            </w:r>
            <w:r>
              <w:rPr>
                <w:rFonts w:hint="eastAsia" w:ascii="宋体" w:hAnsi="宋体" w:eastAsia="宋体" w:cstheme="minorEastAsia"/>
                <w:sz w:val="24"/>
                <w:szCs w:val="24"/>
              </w:rPr>
              <w:t xml:space="preserve">同时包含</w:t>
            </w:r>
            <w:r>
              <w:rPr>
                <w:rFonts w:hint="eastAsia" w:ascii="宋体" w:hAnsi="宋体" w:eastAsia="宋体" w:cstheme="minorEastAsia"/>
                <w:sz w:val="24"/>
                <w:szCs w:val="24"/>
              </w:rPr>
              <w:t xml:space="preserve">甲醛、苯、甲苯、二甲苯、TVOC）释放量及其他物质释放量限量要求的，得1分；</w:t>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检测依据为</w:t>
            </w:r>
            <w:r>
              <w:rPr>
                <w:rFonts w:ascii="宋体" w:hAnsi="宋体" w:eastAsia="宋体" w:cstheme="minorEastAsia"/>
                <w:sz w:val="24"/>
                <w:szCs w:val="24"/>
              </w:rPr>
              <w:t xml:space="preserve">GB/T 43002</w:t>
            </w:r>
            <w:r>
              <w:rPr>
                <w:rFonts w:hint="eastAsia" w:ascii="宋体" w:hAnsi="宋体" w:eastAsia="宋体" w:cstheme="minorEastAsia"/>
                <w:sz w:val="24"/>
                <w:szCs w:val="24"/>
              </w:rPr>
              <w:t xml:space="preserve">、</w:t>
            </w:r>
            <w:r>
              <w:rPr>
                <w:rFonts w:ascii="宋体" w:hAnsi="宋体" w:eastAsia="宋体" w:cstheme="minorEastAsia"/>
                <w:sz w:val="24"/>
                <w:szCs w:val="24"/>
              </w:rPr>
              <w:t xml:space="preserve">GB</w:t>
            </w:r>
            <w:r>
              <w:rPr>
                <w:rFonts w:hint="eastAsia" w:ascii="宋体" w:hAnsi="宋体" w:cs="宋体"/>
                <w:sz w:val="24"/>
                <w:szCs w:val="24"/>
              </w:rPr>
              <w:t xml:space="preserve"> 6675.4</w:t>
            </w:r>
            <w:r>
              <w:rPr>
                <w:rFonts w:hint="eastAsia" w:ascii="宋体" w:hAnsi="宋体" w:eastAsia="宋体" w:cstheme="minorEastAsia"/>
                <w:sz w:val="24"/>
                <w:szCs w:val="24"/>
              </w:rPr>
              <w:t xml:space="preserve">，产品</w:t>
            </w:r>
            <w:r>
              <w:rPr>
                <w:rFonts w:hint="eastAsia" w:ascii="宋体" w:hAnsi="宋体" w:eastAsia="宋体" w:cstheme="minorEastAsia"/>
                <w:sz w:val="24"/>
                <w:szCs w:val="24"/>
              </w:rPr>
              <w:t xml:space="preserve">表面涂层</w:t>
            </w:r>
            <w:r>
              <w:rPr>
                <w:rFonts w:hint="eastAsia" w:ascii="宋体" w:hAnsi="宋体" w:eastAsia="宋体" w:cstheme="minorEastAsia"/>
                <w:sz w:val="24"/>
                <w:szCs w:val="24"/>
              </w:rPr>
              <w:t xml:space="preserve">可迁移元素测定的，得1分；</w:t>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总计得</w:t>
            </w:r>
            <w:r>
              <w:rPr>
                <w:rFonts w:hint="eastAsia" w:ascii="宋体" w:hAnsi="宋体" w:eastAsia="宋体" w:cstheme="minorEastAsia"/>
                <w:sz w:val="24"/>
                <w:szCs w:val="24"/>
              </w:rPr>
              <w:t xml:space="preserve">3</w:t>
            </w:r>
            <w:r>
              <w:rPr>
                <w:rFonts w:hint="eastAsia" w:ascii="宋体" w:hAnsi="宋体" w:eastAsia="宋体" w:cstheme="minorEastAsia"/>
                <w:sz w:val="24"/>
                <w:szCs w:val="24"/>
              </w:rPr>
              <w:t xml:space="preserve">分。</w:t>
            </w:r>
            <w:r/>
          </w:p>
          <w:p>
            <w:pPr>
              <w:spacing w:line="400" w:lineRule="exact"/>
              <w:rPr>
                <w:rFonts w:ascii="宋体" w:hAnsi="宋体" w:eastAsia="宋体" w:cstheme="minorEastAsia"/>
                <w:b/>
                <w:bCs/>
                <w:sz w:val="24"/>
                <w:szCs w:val="24"/>
              </w:rPr>
            </w:pPr>
            <w:r>
              <w:rPr>
                <w:rFonts w:hint="eastAsia" w:ascii="宋体" w:hAnsi="宋体" w:eastAsia="宋体" w:cstheme="minorEastAsia"/>
                <w:b/>
                <w:sz w:val="24"/>
                <w:szCs w:val="24"/>
              </w:rPr>
              <w:t xml:space="preserve">（须提供检测报告扫描件。检测报告须含封底及封面，扫描局部内容及缩放后导致无法识别的均不得分，未按要求提供或不提供不得分。检测报告上的名称与要求中所对应的名称不同但内容实质相同的视作等同）</w:t>
            </w:r>
            <w:r/>
          </w:p>
        </w:tc>
        <w:tc>
          <w:tcPr>
            <w:tcW w:w="695"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14</w:t>
            </w:r>
            <w:bookmarkEnd w:id="38"/>
            <w:r/>
            <w:r/>
          </w:p>
        </w:tc>
      </w:tr>
      <w:tr>
        <w:trPr>
          <w:jc w:val="center"/>
          <w:trHeight w:val="20"/>
        </w:trPr>
        <w:tc>
          <w:tcPr>
            <w:tcW w:w="1101" w:type="dxa"/>
            <w:vAlign w:val="center"/>
            <w:vMerge w:val="continue"/>
            <w:textDirection w:val="lrTb"/>
            <w:noWrap w:val="false"/>
          </w:tcPr>
          <w:p>
            <w:pPr>
              <w:jc w:val="center"/>
              <w:spacing w:line="400" w:lineRule="exact"/>
              <w:rPr>
                <w:rFonts w:ascii="宋体" w:hAnsi="宋体" w:eastAsia="宋体" w:cstheme="minorEastAsia"/>
                <w:sz w:val="24"/>
                <w:szCs w:val="24"/>
              </w:rPr>
            </w:pPr>
            <w:r>
              <w:rPr>
                <w:rFonts w:ascii="宋体" w:hAnsi="宋体" w:eastAsia="宋体" w:cstheme="minorEastAsia"/>
                <w:sz w:val="24"/>
                <w:szCs w:val="24"/>
              </w:rPr>
            </w:r>
            <w:r/>
          </w:p>
        </w:tc>
        <w:tc>
          <w:tcPr>
            <w:tcW w:w="708"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2.2</w:t>
            </w:r>
            <w:r/>
          </w:p>
        </w:tc>
        <w:tc>
          <w:tcPr>
            <w:tcW w:w="1276"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项目实施方案</w:t>
            </w:r>
            <w:r/>
          </w:p>
        </w:tc>
        <w:tc>
          <w:tcPr>
            <w:tcW w:w="5848" w:type="dxa"/>
            <w:vAlign w:val="center"/>
            <w:textDirection w:val="lrTb"/>
            <w:noWrap w:val="false"/>
          </w:tcPr>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投标人针对本项目提供实施方案，包括①实施组织机构及管理制度、②</w:t>
            </w:r>
            <w:r>
              <w:rPr>
                <w:rFonts w:hint="eastAsia" w:ascii="宋体" w:hAnsi="宋体" w:eastAsia="宋体" w:cstheme="minorEastAsia"/>
                <w:bCs/>
                <w:sz w:val="24"/>
                <w:szCs w:val="24"/>
              </w:rPr>
              <w:t xml:space="preserve">实施进度计划及安排</w:t>
            </w:r>
            <w:r>
              <w:rPr>
                <w:rFonts w:hint="eastAsia" w:ascii="宋体" w:hAnsi="宋体" w:eastAsia="宋体" w:cstheme="minorEastAsia"/>
                <w:sz w:val="24"/>
                <w:szCs w:val="24"/>
              </w:rPr>
              <w:t xml:space="preserve">、③实施团队，方案内容描述全面合理符合采购需求的得6分，每有一项内容缺失的扣2分；每有一项内容存在缺陷或不满足要求的扣1分，扣完为止。</w:t>
            </w:r>
            <w:r/>
          </w:p>
          <w:p>
            <w:pPr>
              <w:jc w:val="left"/>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5"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6</w:t>
            </w:r>
            <w:r/>
          </w:p>
        </w:tc>
      </w:tr>
      <w:tr>
        <w:trPr>
          <w:jc w:val="center"/>
          <w:trHeight w:val="20"/>
        </w:trPr>
        <w:tc>
          <w:tcPr>
            <w:tcW w:w="1101" w:type="dxa"/>
            <w:vAlign w:val="center"/>
            <w:vMerge w:val="continue"/>
            <w:textDirection w:val="lrTb"/>
            <w:noWrap w:val="false"/>
          </w:tcPr>
          <w:p>
            <w:pPr>
              <w:jc w:val="center"/>
              <w:spacing w:line="400" w:lineRule="exact"/>
              <w:rPr>
                <w:rFonts w:ascii="宋体" w:hAnsi="宋体" w:eastAsia="宋体" w:cstheme="minorEastAsia"/>
                <w:sz w:val="24"/>
                <w:szCs w:val="24"/>
              </w:rPr>
            </w:pPr>
            <w:r>
              <w:rPr>
                <w:rFonts w:ascii="宋体" w:hAnsi="宋体" w:eastAsia="宋体" w:cstheme="minorEastAsia"/>
                <w:sz w:val="24"/>
                <w:szCs w:val="24"/>
              </w:rPr>
            </w:r>
            <w:r/>
          </w:p>
        </w:tc>
        <w:tc>
          <w:tcPr>
            <w:tcW w:w="708"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2.3</w:t>
            </w:r>
            <w:r/>
          </w:p>
        </w:tc>
        <w:tc>
          <w:tcPr>
            <w:tcW w:w="1276"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生产加工方案</w:t>
            </w:r>
            <w:r/>
          </w:p>
        </w:tc>
        <w:tc>
          <w:tcPr>
            <w:tcW w:w="5848" w:type="dxa"/>
            <w:vAlign w:val="center"/>
            <w:textDirection w:val="lrTb"/>
            <w:noWrap w:val="false"/>
          </w:tcPr>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投标人（或投标产品生产厂家）针对本项目提供</w:t>
            </w:r>
            <w:r>
              <w:rPr>
                <w:rFonts w:hint="eastAsia" w:ascii="宋体" w:hAnsi="宋体" w:eastAsia="宋体" w:cstheme="minorEastAsia"/>
                <w:sz w:val="24"/>
                <w:szCs w:val="24"/>
              </w:rPr>
              <w:t xml:space="preserve">生产加工方案，包括</w:t>
            </w:r>
            <w:r>
              <w:rPr>
                <w:rFonts w:hint="eastAsia" w:ascii="宋体" w:hAnsi="宋体" w:eastAsia="宋体" w:cs="Times New Roman"/>
                <w:sz w:val="24"/>
              </w:rPr>
              <w:t xml:space="preserve">①生产进度安排及保证措施、②安全生产文明施工保证措施、③劳动力及材料投入、④机械设备投入（提供佐证材料），</w:t>
            </w:r>
            <w:r>
              <w:rPr>
                <w:rFonts w:hint="eastAsia" w:ascii="宋体" w:hAnsi="宋体" w:eastAsia="宋体" w:cstheme="minorEastAsia"/>
                <w:sz w:val="24"/>
                <w:szCs w:val="24"/>
              </w:rPr>
              <w:t xml:space="preserve">方案内容描述全面合理符合采购需求的得</w:t>
            </w:r>
            <w:r>
              <w:rPr>
                <w:rFonts w:hint="eastAsia" w:ascii="宋体" w:hAnsi="宋体" w:eastAsia="宋体" w:cstheme="minorEastAsia"/>
                <w:sz w:val="24"/>
                <w:szCs w:val="24"/>
              </w:rPr>
              <w:t xml:space="preserve">8</w:t>
            </w:r>
            <w:r>
              <w:rPr>
                <w:rFonts w:hint="eastAsia" w:ascii="宋体" w:hAnsi="宋体" w:eastAsia="宋体" w:cstheme="minorEastAsia"/>
                <w:sz w:val="24"/>
                <w:szCs w:val="24"/>
              </w:rPr>
              <w:t xml:space="preserve">分，每有一项内容缺失的扣2分；每有一项内容存在缺陷或不满足要求的扣1分，扣完为止。</w:t>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5"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8</w:t>
            </w:r>
            <w:r/>
          </w:p>
        </w:tc>
      </w:tr>
      <w:tr>
        <w:trPr>
          <w:jc w:val="center"/>
          <w:trHeight w:val="20"/>
        </w:trPr>
        <w:tc>
          <w:tcPr>
            <w:tcW w:w="1101" w:type="dxa"/>
            <w:vAlign w:val="center"/>
            <w:vMerge w:val="continue"/>
            <w:textDirection w:val="lrTb"/>
            <w:noWrap w:val="false"/>
          </w:tcPr>
          <w:p>
            <w:pPr>
              <w:jc w:val="center"/>
              <w:spacing w:line="400" w:lineRule="exact"/>
              <w:rPr>
                <w:rFonts w:ascii="宋体" w:hAnsi="宋体" w:eastAsia="宋体" w:cstheme="minorEastAsia"/>
                <w:sz w:val="24"/>
                <w:szCs w:val="24"/>
              </w:rPr>
            </w:pPr>
            <w:r/>
            <w:bookmarkStart w:id="47" w:name="_GoBack"/>
            <w:r/>
            <w:bookmarkEnd w:id="47"/>
            <w:r/>
            <w:r/>
          </w:p>
        </w:tc>
        <w:tc>
          <w:tcPr>
            <w:tcW w:w="708"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2.4</w:t>
            </w:r>
            <w:r/>
          </w:p>
        </w:tc>
        <w:tc>
          <w:tcPr>
            <w:tcW w:w="1276"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配送、安装与调试方案</w:t>
            </w:r>
            <w:r/>
          </w:p>
        </w:tc>
        <w:tc>
          <w:tcPr>
            <w:tcW w:w="5848" w:type="dxa"/>
            <w:vAlign w:val="center"/>
            <w:textDirection w:val="lrTb"/>
            <w:noWrap w:val="false"/>
          </w:tcPr>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投标人针对本项目提供安装与调试方案，包括①配送方案</w:t>
            </w:r>
            <w:r>
              <w:rPr>
                <w:rFonts w:hint="eastAsia" w:ascii="宋体" w:hAnsi="宋体" w:eastAsia="宋体" w:cstheme="minorEastAsia"/>
                <w:sz w:val="24"/>
                <w:szCs w:val="24"/>
              </w:rPr>
              <w:t xml:space="preserve">、</w:t>
            </w:r>
            <w:r>
              <w:rPr>
                <w:rFonts w:hint="eastAsia" w:ascii="宋体" w:hAnsi="宋体" w:eastAsia="宋体" w:cstheme="minorEastAsia"/>
                <w:sz w:val="24"/>
                <w:szCs w:val="24"/>
              </w:rPr>
              <w:t xml:space="preserve">②</w:t>
            </w:r>
            <w:r>
              <w:rPr>
                <w:rFonts w:hint="eastAsia" w:ascii="宋体" w:hAnsi="宋体" w:eastAsia="宋体" w:cstheme="minorEastAsia"/>
                <w:sz w:val="24"/>
                <w:szCs w:val="24"/>
              </w:rPr>
              <w:t xml:space="preserve">产品安装与调试及技术支撑方案</w:t>
            </w:r>
            <w:r>
              <w:rPr>
                <w:rFonts w:hint="eastAsia" w:ascii="宋体" w:hAnsi="宋体" w:eastAsia="宋体" w:cstheme="minorEastAsia"/>
                <w:sz w:val="24"/>
                <w:szCs w:val="24"/>
              </w:rPr>
              <w:t xml:space="preserve">、③</w:t>
            </w:r>
            <w:r>
              <w:rPr>
                <w:rFonts w:hint="eastAsia" w:ascii="宋体" w:hAnsi="宋体" w:eastAsia="宋体" w:cstheme="minorEastAsia"/>
                <w:bCs/>
                <w:sz w:val="24"/>
                <w:szCs w:val="24"/>
              </w:rPr>
              <w:t xml:space="preserve">安全文明安装及环境保护措施</w:t>
            </w:r>
            <w:r>
              <w:rPr>
                <w:rFonts w:hint="eastAsia" w:ascii="宋体" w:hAnsi="宋体" w:eastAsia="宋体" w:cstheme="minorEastAsia"/>
                <w:sz w:val="24"/>
                <w:szCs w:val="24"/>
              </w:rPr>
              <w:t xml:space="preserve">，方案内容描述全面合理符合采购需求的得6分，每有一项内容缺失的扣2分；每有一项内容存在缺陷或不满足要求的扣1分，扣完为止。</w:t>
            </w:r>
            <w:r/>
          </w:p>
          <w:p>
            <w:pPr>
              <w:jc w:val="left"/>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5"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6</w:t>
            </w:r>
            <w:r/>
          </w:p>
        </w:tc>
      </w:tr>
      <w:tr>
        <w:trPr>
          <w:jc w:val="center"/>
          <w:trHeight w:val="20"/>
        </w:trPr>
        <w:tc>
          <w:tcPr>
            <w:tcW w:w="1101" w:type="dxa"/>
            <w:vAlign w:val="center"/>
            <w:vMerge w:val="continue"/>
            <w:textDirection w:val="lrTb"/>
            <w:noWrap w:val="false"/>
          </w:tcPr>
          <w:p>
            <w:pPr>
              <w:jc w:val="center"/>
              <w:spacing w:line="400" w:lineRule="exact"/>
              <w:rPr>
                <w:rFonts w:ascii="宋体" w:hAnsi="宋体" w:eastAsia="宋体" w:cstheme="minorEastAsia"/>
                <w:sz w:val="24"/>
                <w:szCs w:val="24"/>
              </w:rPr>
            </w:pPr>
            <w:r>
              <w:rPr>
                <w:rFonts w:ascii="宋体" w:hAnsi="宋体" w:eastAsia="宋体" w:cstheme="minorEastAsia"/>
                <w:sz w:val="24"/>
                <w:szCs w:val="24"/>
              </w:rPr>
            </w:r>
            <w:r/>
          </w:p>
        </w:tc>
        <w:tc>
          <w:tcPr>
            <w:tcW w:w="708"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2.5</w:t>
            </w:r>
            <w:r/>
          </w:p>
        </w:tc>
        <w:tc>
          <w:tcPr>
            <w:tcW w:w="127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Times New Roman"/>
                <w:sz w:val="24"/>
              </w:rPr>
              <w:t xml:space="preserve">验收方案</w:t>
            </w:r>
            <w:r/>
          </w:p>
        </w:tc>
        <w:tc>
          <w:tcPr>
            <w:tcW w:w="5848"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theme="minorEastAsia"/>
                <w:sz w:val="24"/>
                <w:szCs w:val="24"/>
              </w:rPr>
              <w:t xml:space="preserve">投标人针对本项目提供</w:t>
            </w:r>
            <w:r>
              <w:rPr>
                <w:rFonts w:hint="eastAsia" w:ascii="宋体" w:hAnsi="宋体" w:eastAsia="宋体" w:cs="Times New Roman"/>
                <w:sz w:val="24"/>
              </w:rPr>
              <w:t xml:space="preserve">项目验收方案，包括</w:t>
            </w:r>
            <w:r>
              <w:rPr>
                <w:rFonts w:hint="eastAsia" w:ascii="宋体" w:hAnsi="宋体" w:eastAsia="宋体" w:cs="宋体"/>
                <w:sz w:val="24"/>
                <w:szCs w:val="24"/>
              </w:rPr>
              <w:t xml:space="preserve">①产品质量相关标准的引用</w:t>
            </w:r>
            <w:r>
              <w:rPr>
                <w:rFonts w:hint="eastAsia" w:ascii="宋体" w:hAnsi="宋体" w:eastAsia="宋体" w:cs="Times New Roman"/>
                <w:sz w:val="24"/>
              </w:rPr>
              <w:t xml:space="preserve">；②项目验收具体方案；③技术培训方案，</w:t>
            </w:r>
            <w:r>
              <w:rPr>
                <w:rFonts w:hint="eastAsia" w:ascii="宋体" w:hAnsi="宋体" w:eastAsia="宋体" w:cstheme="minorEastAsia"/>
                <w:sz w:val="24"/>
                <w:szCs w:val="24"/>
              </w:rPr>
              <w:t xml:space="preserve">方案内容描述全面合理符合采购需求的得6分，每有一项内容缺失的扣2分；每有一项内容存在缺陷或不满足要求的扣1分，扣完为止。</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6</w:t>
            </w:r>
            <w:r/>
          </w:p>
        </w:tc>
      </w:tr>
      <w:tr>
        <w:trPr>
          <w:jc w:val="center"/>
          <w:trHeight w:val="20"/>
        </w:trPr>
        <w:tc>
          <w:tcPr>
            <w:tcW w:w="1101" w:type="dxa"/>
            <w:vAlign w:val="center"/>
            <w:vMerge w:val="continue"/>
            <w:textDirection w:val="lrTb"/>
            <w:noWrap w:val="false"/>
          </w:tcPr>
          <w:p>
            <w:pPr>
              <w:jc w:val="center"/>
              <w:spacing w:line="400" w:lineRule="exact"/>
              <w:rPr>
                <w:rFonts w:ascii="宋体" w:hAnsi="宋体" w:eastAsia="宋体" w:cstheme="minorEastAsia"/>
                <w:sz w:val="24"/>
                <w:szCs w:val="24"/>
              </w:rPr>
            </w:pPr>
            <w:r>
              <w:rPr>
                <w:rFonts w:ascii="宋体" w:hAnsi="宋体" w:eastAsia="宋体" w:cstheme="minorEastAsia"/>
                <w:sz w:val="24"/>
                <w:szCs w:val="24"/>
              </w:rPr>
            </w:r>
            <w:r/>
          </w:p>
        </w:tc>
        <w:tc>
          <w:tcPr>
            <w:tcW w:w="708"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2.6</w:t>
            </w:r>
            <w:r/>
          </w:p>
        </w:tc>
        <w:tc>
          <w:tcPr>
            <w:tcW w:w="1276"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保障措施</w:t>
            </w:r>
            <w:r/>
          </w:p>
        </w:tc>
        <w:tc>
          <w:tcPr>
            <w:tcW w:w="5848" w:type="dxa"/>
            <w:vAlign w:val="center"/>
            <w:textDirection w:val="lrTb"/>
            <w:noWrap w:val="false"/>
          </w:tcPr>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投标人针对本项目提供保障措施，包括</w:t>
            </w:r>
            <w:r>
              <w:rPr>
                <w:rFonts w:hint="eastAsia" w:ascii="宋体" w:hAnsi="宋体" w:eastAsia="宋体" w:cs="宋体"/>
                <w:sz w:val="24"/>
                <w:szCs w:val="24"/>
              </w:rPr>
              <w:t xml:space="preserve">①质量控制的方法、工具及重点、②质量保障体系及流程</w:t>
            </w:r>
            <w:r>
              <w:rPr>
                <w:rFonts w:hint="eastAsia" w:ascii="宋体" w:hAnsi="宋体" w:eastAsia="宋体" w:cs="宋体"/>
                <w:bCs/>
                <w:sz w:val="24"/>
                <w:szCs w:val="24"/>
              </w:rPr>
              <w:t xml:space="preserve">、</w:t>
            </w:r>
            <w:r>
              <w:rPr>
                <w:rFonts w:hint="eastAsia" w:ascii="宋体" w:hAnsi="宋体" w:eastAsia="宋体" w:cs="宋体"/>
                <w:sz w:val="24"/>
                <w:szCs w:val="24"/>
              </w:rPr>
              <w:t xml:space="preserve">③</w:t>
            </w:r>
            <w:r>
              <w:rPr>
                <w:rFonts w:hint="eastAsia" w:ascii="宋体" w:hAnsi="宋体" w:eastAsia="宋体" w:cs="宋体"/>
                <w:sz w:val="24"/>
                <w:szCs w:val="24"/>
              </w:rPr>
              <w:t xml:space="preserve">应急保障措施及应急服务响应时间、修复时间</w:t>
            </w:r>
            <w:r>
              <w:rPr>
                <w:rFonts w:hint="eastAsia" w:ascii="宋体" w:hAnsi="宋体" w:eastAsia="宋体" w:cstheme="minorEastAsia"/>
                <w:sz w:val="24"/>
                <w:szCs w:val="24"/>
              </w:rPr>
              <w:t xml:space="preserve">，方案内容描述全面合理符合采购需求的得6分，每有一项内容缺失的扣2分；每有一项内容存在缺陷或不满足要求的扣1分，扣完为止。</w:t>
            </w:r>
            <w:r/>
          </w:p>
          <w:p>
            <w:pPr>
              <w:jc w:val="left"/>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5"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6</w:t>
            </w:r>
            <w:r/>
          </w:p>
        </w:tc>
      </w:tr>
      <w:tr>
        <w:trPr>
          <w:jc w:val="center"/>
          <w:trHeight w:val="20"/>
        </w:trPr>
        <w:tc>
          <w:tcPr>
            <w:tcBorders>
              <w:bottom w:val="single" w:color="auto" w:sz="4" w:space="0"/>
            </w:tcBorders>
            <w:tcW w:w="1101" w:type="dxa"/>
            <w:vAlign w:val="center"/>
            <w:vMerge w:val="continue"/>
            <w:textDirection w:val="lrTb"/>
            <w:noWrap w:val="false"/>
          </w:tcPr>
          <w:p>
            <w:pPr>
              <w:jc w:val="center"/>
              <w:spacing w:line="400" w:lineRule="exact"/>
              <w:rPr>
                <w:rFonts w:ascii="宋体" w:hAnsi="宋体" w:eastAsia="宋体" w:cstheme="minorEastAsia"/>
                <w:sz w:val="24"/>
                <w:szCs w:val="24"/>
              </w:rPr>
            </w:pPr>
            <w:r>
              <w:rPr>
                <w:rFonts w:ascii="宋体" w:hAnsi="宋体" w:eastAsia="宋体" w:cstheme="minorEastAsia"/>
                <w:sz w:val="24"/>
                <w:szCs w:val="24"/>
              </w:rPr>
            </w:r>
            <w:r/>
          </w:p>
        </w:tc>
        <w:tc>
          <w:tcPr>
            <w:tcW w:w="708"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2.7</w:t>
            </w:r>
            <w:r/>
          </w:p>
        </w:tc>
        <w:tc>
          <w:tcPr>
            <w:tcW w:w="1276"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售后服务方案</w:t>
            </w:r>
            <w:r/>
          </w:p>
        </w:tc>
        <w:tc>
          <w:tcPr>
            <w:tcW w:w="5848" w:type="dxa"/>
            <w:vAlign w:val="center"/>
            <w:textDirection w:val="lrTb"/>
            <w:noWrap w:val="false"/>
          </w:tcPr>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投标人针对本项目提供售后服务方案，包括</w:t>
            </w:r>
            <w:r>
              <w:rPr>
                <w:rFonts w:hint="eastAsia" w:ascii="宋体" w:hAnsi="宋体" w:eastAsia="宋体" w:cs="宋体"/>
                <w:sz w:val="24"/>
                <w:szCs w:val="24"/>
              </w:rPr>
              <w:t xml:space="preserve">①</w:t>
            </w:r>
            <w:r>
              <w:rPr>
                <w:rFonts w:hint="eastAsia" w:ascii="宋体" w:hAnsi="宋体" w:eastAsia="宋体" w:cs="宋体"/>
                <w:sz w:val="24"/>
                <w:szCs w:val="24"/>
              </w:rPr>
              <w:t xml:space="preserve">服务保障体系、</w:t>
            </w:r>
            <w:r>
              <w:rPr>
                <w:rFonts w:hint="eastAsia" w:ascii="宋体" w:hAnsi="宋体" w:eastAsia="宋体" w:cs="宋体"/>
                <w:sz w:val="24"/>
                <w:szCs w:val="24"/>
              </w:rPr>
              <w:t xml:space="preserve">②</w:t>
            </w:r>
            <w:r>
              <w:rPr>
                <w:rFonts w:hint="eastAsia" w:ascii="宋体" w:hAnsi="宋体" w:eastAsia="宋体" w:cs="宋体"/>
                <w:sz w:val="24"/>
                <w:szCs w:val="24"/>
              </w:rPr>
              <w:t xml:space="preserve">售后服务人员的技术水平及现场服务措施</w:t>
            </w:r>
            <w:r>
              <w:rPr>
                <w:rFonts w:hint="eastAsia" w:ascii="宋体" w:hAnsi="宋体" w:eastAsia="宋体" w:cs="宋体"/>
                <w:sz w:val="24"/>
                <w:szCs w:val="24"/>
              </w:rPr>
              <w:t xml:space="preserve">、③</w:t>
            </w:r>
            <w:r>
              <w:rPr>
                <w:rFonts w:hint="eastAsia" w:ascii="宋体" w:hAnsi="宋体" w:eastAsia="宋体" w:cs="宋体"/>
                <w:sz w:val="24"/>
                <w:szCs w:val="24"/>
              </w:rPr>
              <w:t xml:space="preserve">日常维护保养</w:t>
            </w:r>
            <w:r>
              <w:rPr>
                <w:rFonts w:hint="eastAsia" w:ascii="宋体" w:hAnsi="宋体" w:eastAsia="宋体" w:cs="宋体"/>
                <w:sz w:val="24"/>
                <w:szCs w:val="24"/>
              </w:rPr>
              <w:t xml:space="preserve">、④备品备件清单及管理</w:t>
            </w:r>
            <w:r>
              <w:rPr>
                <w:rFonts w:hint="eastAsia" w:ascii="宋体" w:hAnsi="宋体" w:eastAsia="宋体" w:cstheme="minorEastAsia"/>
                <w:sz w:val="24"/>
                <w:szCs w:val="24"/>
              </w:rPr>
              <w:t xml:space="preserve">，方案内容描述全面合理符合采购需求的得4分，每有一项内容缺失的扣1分；每有一项内容存在缺陷或不满足要求的扣0.5分，扣完为止。</w:t>
            </w:r>
            <w:r/>
          </w:p>
          <w:p>
            <w:pPr>
              <w:jc w:val="left"/>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5"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4</w:t>
            </w:r>
            <w:r/>
          </w:p>
        </w:tc>
      </w:tr>
      <w:tr>
        <w:trPr>
          <w:jc w:val="center"/>
          <w:trHeight w:val="20"/>
        </w:trPr>
        <w:tc>
          <w:tcPr>
            <w:tcBorders>
              <w:top w:val="single" w:color="auto" w:sz="4" w:space="0"/>
            </w:tcBorders>
            <w:tcW w:w="1101" w:type="dxa"/>
            <w:vAlign w:val="center"/>
            <w:vMerge w:val="restart"/>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三、商务部分</w:t>
            </w:r>
            <w:r/>
          </w:p>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（20）</w:t>
            </w:r>
            <w:r/>
          </w:p>
        </w:tc>
        <w:tc>
          <w:tcPr>
            <w:tcBorders>
              <w:top w:val="single" w:color="auto" w:sz="4" w:space="0"/>
            </w:tcBorders>
            <w:tcW w:w="708"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3.1</w:t>
            </w:r>
            <w:r/>
          </w:p>
        </w:tc>
        <w:tc>
          <w:tcPr>
            <w:tcW w:w="1276" w:type="dxa"/>
            <w:vAlign w:val="center"/>
            <w:textDirection w:val="lrTb"/>
            <w:noWrap w:val="false"/>
          </w:tcPr>
          <w:p>
            <w:pPr>
              <w:jc w:val="center"/>
              <w:spacing w:line="400" w:lineRule="exact"/>
              <w:widowControl/>
              <w:rPr>
                <w:rFonts w:ascii="宋体" w:hAnsi="宋体" w:eastAsia="宋体" w:cstheme="minorEastAsia"/>
                <w:sz w:val="24"/>
                <w:szCs w:val="24"/>
              </w:rPr>
            </w:pPr>
            <w:r>
              <w:rPr>
                <w:rFonts w:hint="eastAsia" w:ascii="宋体" w:hAnsi="宋体" w:eastAsia="宋体" w:cstheme="minorEastAsia"/>
                <w:sz w:val="24"/>
                <w:szCs w:val="24"/>
              </w:rPr>
              <w:t xml:space="preserve">综合实力</w:t>
            </w:r>
            <w:r/>
          </w:p>
        </w:tc>
        <w:tc>
          <w:tcPr>
            <w:tcW w:w="5848"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投标人具有质量管理体系认证证书、环境管理体系认证证书、职业健康安全管理体系认证证书，且认证范围包含幼儿家具相关内容的，有一项得2分，最高得6分。</w:t>
            </w:r>
            <w:r/>
          </w:p>
          <w:p>
            <w:pPr>
              <w:jc w:val="left"/>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（须提供有效期内的证书扫描件，并</w:t>
            </w:r>
            <w:r>
              <w:rPr>
                <w:rFonts w:hint="eastAsia" w:ascii="宋体" w:hAnsi="宋体" w:eastAsia="宋体" w:cstheme="minorEastAsia"/>
                <w:sz w:val="24"/>
                <w:szCs w:val="24"/>
              </w:rPr>
              <w:t xml:space="preserve">附国家</w:t>
            </w:r>
            <w:r>
              <w:rPr>
                <w:rFonts w:hint="eastAsia" w:ascii="宋体" w:hAnsi="宋体" w:eastAsia="宋体" w:cstheme="minorEastAsia"/>
                <w:sz w:val="24"/>
                <w:szCs w:val="24"/>
              </w:rPr>
              <w:t xml:space="preserve">认证认可监督管理</w:t>
            </w:r>
            <w:r>
              <w:rPr>
                <w:rFonts w:hint="eastAsia" w:ascii="宋体" w:hAnsi="宋体" w:eastAsia="宋体" w:cstheme="minorEastAsia"/>
                <w:sz w:val="24"/>
                <w:szCs w:val="24"/>
              </w:rPr>
              <w:t xml:space="preserve">委员会官网查询</w:t>
            </w:r>
            <w:r>
              <w:rPr>
                <w:rFonts w:hint="eastAsia" w:ascii="宋体" w:hAnsi="宋体" w:eastAsia="宋体" w:cstheme="minorEastAsia"/>
                <w:sz w:val="24"/>
                <w:szCs w:val="24"/>
              </w:rPr>
              <w:t xml:space="preserve">截图，无截图不得分）</w:t>
            </w:r>
            <w:r/>
          </w:p>
        </w:tc>
        <w:tc>
          <w:tcPr>
            <w:tcW w:w="695" w:type="dxa"/>
            <w:vAlign w:val="center"/>
            <w:textDirection w:val="lrTb"/>
            <w:noWrap w:val="false"/>
          </w:tcPr>
          <w:p>
            <w:pPr>
              <w:jc w:val="center"/>
              <w:spacing w:line="400" w:lineRule="exact"/>
              <w:widowControl/>
              <w:rPr>
                <w:rFonts w:ascii="宋体" w:hAnsi="宋体" w:eastAsia="宋体" w:cstheme="minorEastAsia"/>
                <w:sz w:val="24"/>
                <w:szCs w:val="24"/>
              </w:rPr>
            </w:pPr>
            <w:r>
              <w:rPr>
                <w:rFonts w:hint="eastAsia" w:ascii="宋体" w:hAnsi="宋体" w:eastAsia="宋体" w:cstheme="minorEastAsia"/>
                <w:sz w:val="24"/>
                <w:szCs w:val="24"/>
              </w:rPr>
              <w:t xml:space="preserve">6</w:t>
            </w:r>
            <w:r/>
          </w:p>
        </w:tc>
      </w:tr>
      <w:tr>
        <w:trPr>
          <w:jc w:val="center"/>
          <w:trHeight w:val="20"/>
        </w:trPr>
        <w:tc>
          <w:tcPr>
            <w:tcBorders>
              <w:top w:val="single" w:color="auto" w:sz="4" w:space="0"/>
            </w:tcBorders>
            <w:tcW w:w="1101" w:type="dxa"/>
            <w:vAlign w:val="center"/>
            <w:vMerge w:val="continue"/>
            <w:textDirection w:val="lrTb"/>
            <w:noWrap w:val="false"/>
          </w:tcPr>
          <w:p>
            <w:pPr>
              <w:spacing w:line="400" w:lineRule="exact"/>
              <w:rPr>
                <w:rFonts w:ascii="宋体" w:hAnsi="宋体" w:eastAsia="宋体" w:cstheme="minorEastAsia"/>
                <w:sz w:val="24"/>
                <w:szCs w:val="24"/>
              </w:rPr>
            </w:pPr>
            <w:r>
              <w:rPr>
                <w:rFonts w:ascii="宋体" w:hAnsi="宋体" w:eastAsia="宋体" w:cstheme="minorEastAsia"/>
                <w:sz w:val="24"/>
                <w:szCs w:val="24"/>
              </w:rPr>
            </w:r>
            <w:r/>
          </w:p>
        </w:tc>
        <w:tc>
          <w:tcPr>
            <w:tcBorders>
              <w:top w:val="single" w:color="auto" w:sz="4" w:space="0"/>
            </w:tcBorders>
            <w:tcW w:w="708"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3.2</w:t>
            </w:r>
            <w:r/>
          </w:p>
        </w:tc>
        <w:tc>
          <w:tcPr>
            <w:tcW w:w="1276" w:type="dxa"/>
            <w:vAlign w:val="center"/>
            <w:textDirection w:val="lrTb"/>
            <w:noWrap w:val="false"/>
          </w:tcPr>
          <w:p>
            <w:pPr>
              <w:jc w:val="center"/>
              <w:spacing w:line="400" w:lineRule="exact"/>
              <w:widowControl/>
              <w:rPr>
                <w:rFonts w:ascii="宋体" w:hAnsi="宋体" w:eastAsia="宋体" w:cstheme="minorEastAsia"/>
                <w:sz w:val="24"/>
                <w:szCs w:val="24"/>
              </w:rPr>
            </w:pPr>
            <w:r>
              <w:rPr>
                <w:rFonts w:hint="eastAsia" w:ascii="宋体" w:hAnsi="宋体" w:eastAsia="宋体" w:cstheme="minorEastAsia"/>
                <w:sz w:val="24"/>
                <w:szCs w:val="24"/>
              </w:rPr>
              <w:t xml:space="preserve">产品认证</w:t>
            </w:r>
            <w:r/>
          </w:p>
        </w:tc>
        <w:tc>
          <w:tcPr>
            <w:tcW w:w="5848" w:type="dxa"/>
            <w:vAlign w:val="center"/>
            <w:textDirection w:val="lrTb"/>
            <w:noWrap w:val="false"/>
          </w:tcPr>
          <w:p>
            <w:pPr>
              <w:spacing w:line="400" w:lineRule="exact"/>
              <w:widowControl/>
              <w:rPr>
                <w:rFonts w:ascii="宋体" w:hAnsi="宋体" w:eastAsia="宋体" w:cstheme="minorEastAsia"/>
                <w:sz w:val="24"/>
                <w:szCs w:val="24"/>
              </w:rPr>
            </w:pPr>
            <w:r>
              <w:rPr>
                <w:rFonts w:hint="eastAsia" w:ascii="宋体" w:hAnsi="宋体" w:eastAsia="宋体" w:cstheme="minorEastAsia"/>
                <w:sz w:val="24"/>
                <w:szCs w:val="24"/>
              </w:rPr>
              <w:t xml:space="preserve">①</w:t>
            </w:r>
            <w:r>
              <w:rPr>
                <w:rFonts w:hint="eastAsia" w:ascii="宋体" w:hAnsi="宋体" w:eastAsia="宋体" w:cs="宋体"/>
                <w:sz w:val="24"/>
                <w:szCs w:val="24"/>
              </w:rPr>
              <w:t xml:space="preserve">投标产品具有中国环境标志产品认证证书，认证单元包含：</w:t>
            </w:r>
            <w:r>
              <w:rPr>
                <w:rFonts w:hint="eastAsia" w:ascii="宋体" w:hAnsi="宋体" w:eastAsia="宋体" w:cs="宋体"/>
                <w:sz w:val="24"/>
                <w:szCs w:val="24"/>
              </w:rPr>
              <w:t xml:space="preserve">综合类木家具</w:t>
            </w:r>
            <w:r>
              <w:rPr>
                <w:rFonts w:hint="eastAsia" w:ascii="宋体" w:hAnsi="宋体" w:eastAsia="宋体" w:cs="宋体"/>
                <w:sz w:val="24"/>
                <w:szCs w:val="24"/>
              </w:rPr>
              <w:t xml:space="preserve">、人造板类家具、实木类家具的，</w:t>
            </w:r>
            <w:r>
              <w:rPr>
                <w:rFonts w:hint="eastAsia" w:ascii="宋体" w:hAnsi="宋体" w:cs="宋体"/>
                <w:sz w:val="24"/>
                <w:szCs w:val="24"/>
              </w:rPr>
              <w:t xml:space="preserve">有一项得2分，最高得6分。</w:t>
            </w:r>
            <w:r/>
          </w:p>
          <w:p>
            <w:pPr>
              <w:jc w:val="left"/>
              <w:spacing w:line="400" w:lineRule="exact"/>
              <w:rPr>
                <w:rFonts w:ascii="宋体" w:hAnsi="宋体" w:eastAsia="宋体" w:cstheme="minorEastAsia"/>
                <w:b/>
                <w:sz w:val="24"/>
                <w:szCs w:val="24"/>
              </w:rPr>
            </w:pPr>
            <w:r>
              <w:rPr>
                <w:rFonts w:hint="eastAsia" w:ascii="宋体" w:hAnsi="宋体" w:eastAsia="宋体" w:cstheme="minorEastAsia"/>
                <w:sz w:val="24"/>
                <w:szCs w:val="24"/>
              </w:rPr>
              <w:t xml:space="preserve">②</w:t>
            </w:r>
            <w:r>
              <w:rPr>
                <w:rFonts w:hint="eastAsia" w:ascii="宋体" w:hAnsi="宋体" w:eastAsia="宋体" w:cs="宋体"/>
                <w:sz w:val="24"/>
                <w:szCs w:val="24"/>
              </w:rPr>
              <w:t xml:space="preserve">投标产品具有绿色产品认证证书，认证单元包含：木家具（实木家具）、木家具（板木家具）的，有一项得2分，最高得</w:t>
            </w:r>
            <w:r>
              <w:rPr>
                <w:rFonts w:hint="eastAsia" w:ascii="宋体" w:hAnsi="宋体" w:cs="宋体"/>
                <w:sz w:val="24"/>
                <w:szCs w:val="24"/>
              </w:rPr>
              <w:t xml:space="preserve">4</w:t>
            </w:r>
            <w:r>
              <w:rPr>
                <w:rFonts w:hint="eastAsia" w:ascii="宋体" w:hAnsi="宋体" w:eastAsia="宋体" w:cs="宋体"/>
                <w:sz w:val="24"/>
                <w:szCs w:val="24"/>
              </w:rPr>
              <w:t xml:space="preserve">分。</w:t>
            </w:r>
            <w:r/>
          </w:p>
          <w:p>
            <w:pPr>
              <w:jc w:val="left"/>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（须提供有效期内的证书扫描件及“国家认证认可监督管理委员会”</w:t>
            </w:r>
            <w:r>
              <w:rPr>
                <w:rFonts w:hint="eastAsia" w:ascii="宋体" w:hAnsi="宋体" w:eastAsia="宋体" w:cstheme="minorEastAsia"/>
                <w:sz w:val="24"/>
                <w:szCs w:val="24"/>
              </w:rPr>
              <w:t xml:space="preserve">官</w:t>
            </w:r>
            <w:r>
              <w:rPr>
                <w:rFonts w:hint="eastAsia" w:ascii="宋体" w:hAnsi="宋体" w:eastAsia="宋体" w:cstheme="minorEastAsia"/>
                <w:sz w:val="24"/>
                <w:szCs w:val="24"/>
              </w:rPr>
              <w:t xml:space="preserve">网查询</w:t>
            </w:r>
            <w:r>
              <w:rPr>
                <w:rFonts w:hint="eastAsia" w:ascii="宋体" w:hAnsi="宋体" w:eastAsia="宋体" w:cstheme="minorEastAsia"/>
                <w:sz w:val="24"/>
                <w:szCs w:val="24"/>
              </w:rPr>
              <w:t xml:space="preserve">截图，无截图不得分。证书上的名称与要求中所对应的名称不同但内容实质相同的视作等同）</w:t>
            </w:r>
            <w:r/>
          </w:p>
        </w:tc>
        <w:tc>
          <w:tcPr>
            <w:tcW w:w="695" w:type="dxa"/>
            <w:vAlign w:val="center"/>
            <w:textDirection w:val="lrTb"/>
            <w:noWrap w:val="false"/>
          </w:tcPr>
          <w:p>
            <w:pPr>
              <w:jc w:val="center"/>
              <w:spacing w:line="400" w:lineRule="exact"/>
              <w:widowControl/>
              <w:rPr>
                <w:rFonts w:ascii="宋体" w:hAnsi="宋体" w:eastAsia="宋体" w:cstheme="minorEastAsia"/>
                <w:sz w:val="24"/>
                <w:szCs w:val="24"/>
              </w:rPr>
            </w:pPr>
            <w:r>
              <w:rPr>
                <w:rFonts w:hint="eastAsia" w:ascii="宋体" w:hAnsi="宋体" w:eastAsia="宋体" w:cstheme="minorEastAsia"/>
                <w:sz w:val="24"/>
                <w:szCs w:val="24"/>
              </w:rPr>
              <w:t xml:space="preserve">10</w:t>
            </w:r>
            <w:r/>
          </w:p>
        </w:tc>
      </w:tr>
      <w:tr>
        <w:trPr>
          <w:jc w:val="center"/>
          <w:trHeight w:val="938"/>
        </w:trPr>
        <w:tc>
          <w:tcPr>
            <w:tcBorders>
              <w:top w:val="single" w:color="auto" w:sz="4" w:space="0"/>
            </w:tcBorders>
            <w:tcW w:w="1101" w:type="dxa"/>
            <w:vAlign w:val="center"/>
            <w:vMerge w:val="continue"/>
            <w:textDirection w:val="lrTb"/>
            <w:noWrap w:val="false"/>
          </w:tcPr>
          <w:p>
            <w:pPr>
              <w:spacing w:line="400" w:lineRule="exact"/>
              <w:rPr>
                <w:rFonts w:ascii="宋体" w:hAnsi="宋体" w:eastAsia="宋体" w:cstheme="minorEastAsia"/>
                <w:sz w:val="24"/>
                <w:szCs w:val="24"/>
              </w:rPr>
            </w:pPr>
            <w:r>
              <w:rPr>
                <w:rFonts w:ascii="宋体" w:hAnsi="宋体" w:eastAsia="宋体" w:cstheme="minorEastAsia"/>
                <w:sz w:val="24"/>
                <w:szCs w:val="24"/>
              </w:rPr>
            </w:r>
            <w:r/>
          </w:p>
        </w:tc>
        <w:tc>
          <w:tcPr>
            <w:shd w:val="clear" w:color="auto" w:fill="auto"/>
            <w:tcBorders>
              <w:top w:val="single" w:color="auto" w:sz="4" w:space="0"/>
            </w:tcBorders>
            <w:tcW w:w="708"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3.3</w:t>
            </w:r>
            <w:r/>
          </w:p>
        </w:tc>
        <w:tc>
          <w:tcPr>
            <w:shd w:val="clear" w:color="auto" w:fill="auto"/>
            <w:tcW w:w="1276"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质保期</w:t>
            </w:r>
            <w:r/>
          </w:p>
        </w:tc>
        <w:tc>
          <w:tcPr>
            <w:shd w:val="clear" w:color="auto" w:fill="auto"/>
            <w:tcW w:w="5848" w:type="dxa"/>
            <w:vAlign w:val="center"/>
            <w:textDirection w:val="lrTb"/>
            <w:noWrap w:val="false"/>
          </w:tcPr>
          <w:p>
            <w:pPr>
              <w:spacing w:line="400" w:lineRule="exact"/>
              <w:rPr>
                <w:rFonts w:ascii="宋体" w:hAnsi="宋体" w:eastAsia="宋体" w:cstheme="minorEastAsia"/>
                <w:b/>
                <w:sz w:val="24"/>
                <w:szCs w:val="24"/>
              </w:rPr>
            </w:pPr>
            <w:r>
              <w:rPr>
                <w:rFonts w:hint="eastAsia" w:ascii="宋体" w:hAnsi="宋体" w:eastAsia="宋体" w:cstheme="minorEastAsia"/>
                <w:sz w:val="24"/>
                <w:szCs w:val="24"/>
              </w:rPr>
              <w:t xml:space="preserve">满足招标文件要求质保期（5年）不得分，每增加一年质保期得2分，最高得4分。</w:t>
            </w:r>
            <w:r/>
          </w:p>
        </w:tc>
        <w:tc>
          <w:tcPr>
            <w:shd w:val="clear" w:color="auto" w:fill="auto"/>
            <w:tcW w:w="695" w:type="dxa"/>
            <w:vAlign w:val="center"/>
            <w:textDirection w:val="lrTb"/>
            <w:noWrap w:val="false"/>
          </w:tcPr>
          <w:p>
            <w:pPr>
              <w:jc w:val="center"/>
              <w:spacing w:line="400" w:lineRule="exact"/>
              <w:widowControl/>
              <w:rPr>
                <w:rFonts w:ascii="宋体" w:hAnsi="宋体" w:eastAsia="宋体" w:cstheme="minorEastAsia"/>
                <w:sz w:val="24"/>
                <w:szCs w:val="24"/>
              </w:rPr>
            </w:pPr>
            <w:r>
              <w:rPr>
                <w:rFonts w:hint="eastAsia" w:ascii="宋体" w:hAnsi="宋体" w:eastAsia="宋体" w:cstheme="minorEastAsia"/>
                <w:sz w:val="24"/>
                <w:szCs w:val="24"/>
              </w:rPr>
              <w:t xml:space="preserve">4</w:t>
            </w:r>
            <w:r/>
          </w:p>
        </w:tc>
      </w:tr>
    </w:tbl>
    <w:p>
      <w:pPr>
        <w:spacing w:line="6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pStyle w:val="948"/>
      </w:pPr>
      <w:r/>
      <w:r/>
    </w:p>
    <w:p>
      <w:pPr>
        <w:pStyle w:val="948"/>
      </w:pPr>
      <w:r/>
      <w:bookmarkStart w:id="48" w:name="_Toc213847317"/>
      <w:r>
        <w:rPr>
          <w:rFonts w:hint="eastAsia"/>
        </w:rPr>
        <w:t xml:space="preserve">第</w:t>
      </w:r>
      <w:r>
        <w:rPr>
          <w:rFonts w:hint="eastAsia"/>
        </w:rPr>
        <w:t xml:space="preserve">五</w:t>
      </w:r>
      <w:r>
        <w:rPr>
          <w:rFonts w:hint="eastAsia"/>
        </w:rPr>
        <w:t xml:space="preserve">章　合同书（格式）</w:t>
      </w:r>
      <w:bookmarkEnd w:id="48"/>
      <w:r/>
      <w:r/>
    </w:p>
    <w:p>
      <w:pPr>
        <w:spacing w:line="400" w:lineRule="exact"/>
        <w:rPr>
          <w:rFonts w:ascii="宋体" w:hAnsi="宋体" w:eastAsia="宋体" w:cs="Times New Roman"/>
          <w:bCs/>
          <w:sz w:val="24"/>
          <w:szCs w:val="24"/>
        </w:rPr>
      </w:pPr>
      <w:r/>
      <w:bookmarkStart w:id="49" w:name="_Toc251268363"/>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楷体_GB2312" w:hAnsi="Times New Roman" w:eastAsia="楷体_GB2312" w:cs="Times New Roman"/>
          <w:sz w:val="24"/>
          <w:szCs w:val="24"/>
        </w:rPr>
      </w:pPr>
      <w:r>
        <w:rPr>
          <w:rFonts w:ascii="楷体_GB2312" w:hAnsi="Times New Roman" w:eastAsia="楷体_GB2312" w:cs="Times New Roman"/>
          <w:sz w:val="24"/>
          <w:szCs w:val="24"/>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2、项目采购清单（包含货物名称、规格、型号、数量、价格）：</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3、其他：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宋体"/>
          <w:bCs/>
          <w:sz w:val="24"/>
          <w:szCs w:val="24"/>
          <w:lang w:val="zh-CN"/>
        </w:rPr>
        <w:t xml:space="preserve">按实结算项目的结算金额以项目完成后审计部门的审计结果作为结算依据。</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分项价款如下：</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ind w:firstLine="480"/>
        <w:jc w:val="left"/>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本合同总价款是货物设计、制造、包装、仓储、运输装卸</w:t>
      </w:r>
      <w:r>
        <w:rPr>
          <w:rFonts w:hint="eastAsia" w:ascii="宋体" w:hAnsi="宋体" w:eastAsia="宋体" w:cs="楷体_GB2312"/>
          <w:sz w:val="24"/>
          <w:szCs w:val="24"/>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Times New Roman"/>
          <w:bCs/>
          <w:sz w:val="24"/>
          <w:szCs w:val="24"/>
        </w:rPr>
        <w:t xml:space="preserve">，以</w:t>
      </w:r>
      <w:r>
        <w:rPr>
          <w:rFonts w:hint="eastAsia" w:ascii="宋体" w:hAnsi="宋体" w:eastAsia="宋体" w:cs="Times New Roman"/>
          <w:sz w:val="24"/>
          <w:szCs w:val="24"/>
        </w:rPr>
        <w:t xml:space="preserve">及投标人认为需要的其他费用等。</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本合同总价款还包含乙方应当提供的伴随服务/售后服务费用。</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本合同执行期间合同总价款不变。</w:t>
      </w:r>
      <w:r>
        <w:rPr>
          <w:rFonts w:hint="eastAsia" w:ascii="宋体" w:hAnsi="宋体" w:eastAsia="宋体" w:cs="Times New Roman"/>
          <w:sz w:val="24"/>
          <w:szCs w:val="24"/>
          <w:lang w:val="zh-CN"/>
        </w:rPr>
        <w:t xml:space="preserve">（有另行规定的除外。）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1、乙方所提供的货物的技术规格应与招标文件与投标文件规定的技术规格相一致；若技术性能无特殊说明，则按国家有关部门最新颁布的标准及规范为准。</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3、乙方承诺的质量保证：</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包装要求</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2、每一包装单元内应附详细的装箱单和质量合格凭证。</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第八条　交货及验收</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1、交货地点、方式及日期：</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2、验收标准：按招标文件所规定的采购标准和乙方投标文件的承诺，根据实际按照《江苏省政府采购履约验收管理办法》（苏财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〔2024〕7号）组织验收，费用由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承担。</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伴随服务／售后服务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1、乙方应按照国家有关法律法规规章和“三包”规定以及招标文件及投标文件所规定及承诺的“服务承诺”提供服务。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2、除前款规定外，乙方还应提供下列服务：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（1）货物的现场安装、调试、运行、维护等；</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（2）对甲方人员进行免费培训。</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3、乙方承诺的售后服务：</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4、若招标文件中不包含有关伴随服务或售后服务的承诺，双方作如下约定：</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（1）乙方应为甲方提供免费培训服务，并指派专人负责与甲方联系售后服务事宜。主要培训内容为货物的基本结构、性能、主要部件的构造及处理，日常使用操作、保养与管</w:t>
      </w:r>
      <w:r>
        <w:rPr>
          <w:rFonts w:hint="eastAsia" w:ascii="宋体" w:hAnsi="宋体" w:eastAsia="宋体" w:cs="Times New Roman"/>
          <w:sz w:val="24"/>
          <w:szCs w:val="24"/>
          <w:lang w:val="zh-CN"/>
        </w:rPr>
        <w:t xml:space="preserve">理、常见故障的排除、紧急情况的处理等，如甲方未使用过同类型货物，乙方还需就货物的功能对甲方人员进行相应的技术培训，培训地点主要在货物安装现场或由甲方安排。</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（2）所购货物按乙方投标承诺提供免费维护和质量保证，保修费用计入总价。</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（3）保修期内，乙方负责对其提供的货物整机进行维修和系统维护，不再收取任何费用，但不可抗力（如火灾、雷击等）造成的故障除外。</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（4）货物故障报修的响应时间按乙方投标承诺执行。</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（5）若货物故障在检修8工作小时后仍无法排除，乙方应在48小时内免费提供不低于故障货物规格型号档次的备用货物供甲方使用，直至故障货物修复。</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（6）所有货物保修服务方式均为乙方上门保修，即由乙方派员到货物使用现场维修，由此产生的一切费用均由乙方承担。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（7）保修期后的货物维护由双方协商再定。</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第十条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第十一条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6、</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7、</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8、</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第十二条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sz w:val="24"/>
          <w:szCs w:val="24"/>
        </w:rPr>
        <w:t xml:space="preserve">本义务</w:t>
      </w:r>
      <w:r>
        <w:rPr>
          <w:rFonts w:hint="eastAsia" w:ascii="宋体" w:hAnsi="宋体" w:eastAsia="宋体" w:cs="宋体"/>
          <w:bCs/>
          <w:sz w:val="24"/>
          <w:szCs w:val="24"/>
        </w:rPr>
        <w:t xml:space="preserve">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第十三条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第十四条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第十五条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3、在仲裁期间，本合同应继续履行。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第十六条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49"/>
            <w:r/>
            <w:r/>
          </w:p>
        </w:tc>
      </w:tr>
    </w:tbl>
    <w:p>
      <w:pPr>
        <w:pStyle w:val="948"/>
        <w:sectPr>
          <w:footnotePr/>
          <w:endnotePr/>
          <w:type w:val="nextPage"/>
          <w:pgSz w:w="11906" w:h="16838" w:orient="portrait"/>
          <w:pgMar w:top="1247" w:right="1247" w:bottom="1247" w:left="1247" w:header="680" w:footer="992" w:gutter="0"/>
          <w:cols w:num="1" w:sep="0" w:space="720" w:equalWidth="1"/>
          <w:docGrid w:linePitch="360"/>
        </w:sectPr>
      </w:pPr>
      <w:r/>
      <w:r/>
    </w:p>
    <w:p>
      <w:pPr>
        <w:pStyle w:val="948"/>
      </w:pPr>
      <w:r/>
      <w:r/>
    </w:p>
    <w:p>
      <w:pPr>
        <w:pStyle w:val="948"/>
      </w:pPr>
      <w:r/>
      <w:bookmarkStart w:id="50" w:name="_Toc213847318"/>
      <w:r>
        <w:rPr>
          <w:rFonts w:hint="eastAsia"/>
        </w:rPr>
        <w:t xml:space="preserve">第</w:t>
      </w:r>
      <w:r>
        <w:rPr>
          <w:rFonts w:hint="eastAsia"/>
        </w:rPr>
        <w:t xml:space="preserve">六</w:t>
      </w:r>
      <w:r>
        <w:rPr>
          <w:rFonts w:hint="eastAsia"/>
        </w:rPr>
        <w:t xml:space="preserve">章　</w:t>
      </w:r>
      <w:r>
        <w:rPr>
          <w:rFonts w:hint="eastAsia"/>
        </w:rPr>
        <w:t xml:space="preserve">投标文件</w:t>
      </w:r>
      <w:r>
        <w:rPr>
          <w:rFonts w:hint="eastAsia"/>
        </w:rPr>
        <w:t xml:space="preserve">的组成和格式</w:t>
      </w:r>
      <w:bookmarkEnd w:id="50"/>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rPr>
        <w:t xml:space="preserve">：</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w:t>
      </w:r>
      <w:r>
        <w:rPr>
          <w:rFonts w:hint="eastAsia" w:ascii="黑体" w:hAnsi="宋体" w:eastAsia="黑体" w:cs="Times New Roman"/>
          <w:bCs/>
          <w:sz w:val="28"/>
          <w:szCs w:val="28"/>
        </w:rPr>
        <w:t xml:space="preserve">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51" w:name="_Toc194739809"/>
      <w:r/>
      <w:bookmarkStart w:id="52"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JSZC-320281-JZCG-G2025-0066</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江阴市</w:t>
            </w:r>
            <w:r>
              <w:rPr>
                <w:rFonts w:hint="eastAsia" w:ascii="宋体" w:hAnsi="宋体" w:eastAsia="宋体" w:cs="宋体"/>
                <w:sz w:val="24"/>
                <w:szCs w:val="24"/>
              </w:rPr>
              <w:t xml:space="preserve">璜土中心</w:t>
            </w:r>
            <w:r>
              <w:rPr>
                <w:rFonts w:hint="eastAsia" w:ascii="宋体" w:hAnsi="宋体" w:eastAsia="宋体" w:cs="宋体"/>
                <w:sz w:val="24"/>
                <w:szCs w:val="24"/>
              </w:rPr>
              <w:t xml:space="preserve">幼儿园新园家具采购项目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53" w:name="_Toc194386107"/>
      <w:r/>
      <w:bookmarkStart w:id="54" w:name="_Toc158691780"/>
      <w:r/>
      <w:bookmarkStart w:id="55" w:name="_Toc145474400"/>
      <w:r>
        <w:rPr>
          <w:rFonts w:hint="eastAsia" w:ascii="宋体" w:hAnsi="宋体" w:eastAsia="宋体" w:cs="Times New Roman"/>
          <w:b/>
          <w:sz w:val="24"/>
          <w:szCs w:val="24"/>
        </w:rPr>
        <w:t xml:space="preserve">注:此表格无需填报具体内容，签章</w:t>
      </w:r>
      <w:r>
        <w:rPr>
          <w:rFonts w:hint="eastAsia" w:ascii="宋体" w:hAnsi="宋体" w:eastAsia="宋体" w:cs="Times New Roman"/>
          <w:b/>
          <w:sz w:val="24"/>
          <w:szCs w:val="24"/>
        </w:rPr>
        <w:t xml:space="preserve">上传即可</w:t>
      </w:r>
      <w:r>
        <w:rPr>
          <w:rFonts w:hint="eastAsia" w:ascii="宋体" w:hAnsi="宋体" w:eastAsia="宋体" w:cs="Times New Roman"/>
          <w:b/>
          <w:sz w:val="24"/>
          <w:szCs w:val="24"/>
        </w:rPr>
        <w:t xml:space="preserve">。</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53"/>
      <w:r/>
      <w:bookmarkEnd w:id="54"/>
      <w:r/>
      <w:bookmarkEnd w:id="55"/>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bookmarkStart w:id="56" w:name="_Toc158691783"/>
      <w:r/>
      <w:bookmarkStart w:id="57" w:name="_Toc129333640"/>
      <w:r/>
      <w:bookmarkStart w:id="58" w:name="_Toc194386110"/>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w:t>
      </w:r>
      <w:bookmarkEnd w:id="51"/>
      <w:r/>
      <w:bookmarkEnd w:id="52"/>
      <w:r/>
      <w:bookmarkEnd w:id="56"/>
      <w:r/>
      <w:bookmarkEnd w:id="57"/>
      <w:r/>
      <w:bookmarkEnd w:id="58"/>
      <w:r>
        <w:rPr>
          <w:rFonts w:hint="eastAsia" w:ascii="黑体" w:hAnsi="黑体" w:eastAsia="黑体" w:cs="Times New Roman"/>
          <w:sz w:val="28"/>
          <w:szCs w:val="28"/>
        </w:rPr>
        <w:t xml:space="preserve">报价明细表</w:t>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877"/>
        <w:gridCol w:w="3113"/>
        <w:gridCol w:w="5224"/>
      </w:tblGrid>
      <w:tr>
        <w:trPr>
          <w:cantSplit/>
          <w:jc w:val="center"/>
          <w:trHeight w:val="437"/>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311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费用名称</w:t>
            </w:r>
            <w:r/>
          </w:p>
        </w:tc>
        <w:tc>
          <w:tcPr>
            <w:tcW w:w="522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价格</w:t>
            </w:r>
            <w:r/>
          </w:p>
        </w:tc>
      </w:tr>
      <w:tr>
        <w:trPr>
          <w:cantSplit/>
          <w:jc w:val="center"/>
          <w:trHeight w:val="456"/>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48"/>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00"/>
        </w:trPr>
        <w:tc>
          <w:tcPr>
            <w:gridSpan w:val="2"/>
            <w:tcW w:w="399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合计</w:t>
            </w:r>
            <w:r/>
          </w:p>
        </w:tc>
        <w:tc>
          <w:tcPr>
            <w:tcW w:w="5224" w:type="dxa"/>
            <w:vAlign w:val="center"/>
            <w:textDirection w:val="lrTb"/>
            <w:noWrap w:val="false"/>
          </w:tcPr>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小写：￥</w:t>
            </w:r>
            <w:r>
              <w:rPr>
                <w:rFonts w:hint="eastAsia" w:ascii="宋体" w:hAnsi="宋体" w:eastAsia="宋体" w:cs="Times New Roman"/>
                <w:sz w:val="24"/>
                <w:szCs w:val="24"/>
                <w:u w:val="single"/>
              </w:rPr>
              <w:t xml:space="preserve">                                </w:t>
            </w:r>
            <w:r/>
          </w:p>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大写：人民币</w:t>
            </w:r>
            <w:r>
              <w:rPr>
                <w:rFonts w:hint="eastAsia" w:ascii="宋体" w:hAnsi="宋体" w:eastAsia="宋体" w:cs="Times New Roman"/>
                <w:sz w:val="24"/>
                <w:szCs w:val="24"/>
                <w:u w:val="single"/>
              </w:rPr>
              <w:t xml:space="preserve">                            </w:t>
            </w:r>
            <w:r/>
          </w:p>
        </w:tc>
      </w:tr>
    </w:tbl>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四、</w:t>
      </w:r>
      <w:r>
        <w:rPr>
          <w:rFonts w:hint="eastAsia" w:ascii="黑体" w:hAnsi="黑体" w:eastAsia="黑体" w:cs="Times New Roman"/>
          <w:sz w:val="28"/>
          <w:szCs w:val="28"/>
        </w:rPr>
        <w:t xml:space="preserve">详细配置一览表</w:t>
      </w:r>
      <w:r/>
    </w:p>
    <w:p>
      <w:pPr>
        <w:jc w:val="center"/>
        <w:spacing w:line="400" w:lineRule="exact"/>
        <w:rPr>
          <w:rFonts w:ascii="仿宋" w:hAnsi="仿宋" w:eastAsia="仿宋" w:cs="Times New Roman"/>
          <w:b/>
          <w:bCs/>
          <w:sz w:val="24"/>
          <w:szCs w:val="24"/>
        </w:rPr>
        <w:outlineLvl w:val="1"/>
      </w:pPr>
      <w:r>
        <w:rPr>
          <w:rFonts w:hint="eastAsia" w:ascii="仿宋" w:hAnsi="仿宋" w:eastAsia="仿宋" w:cs="Times New Roman"/>
          <w:b/>
          <w:bCs/>
          <w:sz w:val="24"/>
          <w:szCs w:val="24"/>
        </w:rPr>
        <w:t xml:space="preserve">（产品序号与采购清单一一对应）</w:t>
      </w:r>
      <w:r/>
    </w:p>
    <w:p>
      <w:pPr>
        <w:spacing w:line="400" w:lineRule="exact"/>
        <w:rPr>
          <w:rFonts w:ascii="仿宋" w:hAnsi="仿宋" w:eastAsia="仿宋" w:cs="Times New Roman"/>
          <w:b/>
          <w:bCs/>
          <w:sz w:val="24"/>
          <w:szCs w:val="24"/>
        </w:rPr>
        <w:outlineLvl w:val="1"/>
      </w:pPr>
      <w:r>
        <w:rPr>
          <w:rFonts w:ascii="仿宋" w:hAnsi="仿宋" w:eastAsia="仿宋" w:cs="Times New Roman"/>
          <w:b/>
          <w:bCs/>
          <w:sz w:val="24"/>
          <w:szCs w:val="24"/>
        </w:rPr>
      </w:r>
      <w:r/>
    </w:p>
    <w:tbl>
      <w:tblPr>
        <w:tblW w:w="993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513"/>
        <w:gridCol w:w="856"/>
        <w:gridCol w:w="708"/>
        <w:gridCol w:w="709"/>
        <w:gridCol w:w="706"/>
        <w:gridCol w:w="1277"/>
        <w:gridCol w:w="993"/>
        <w:gridCol w:w="1277"/>
        <w:gridCol w:w="851"/>
        <w:gridCol w:w="852"/>
        <w:gridCol w:w="1188"/>
      </w:tblGrid>
      <w:tr>
        <w:trPr>
          <w:jc w:val="center"/>
          <w:trHeight w:val="360"/>
        </w:trPr>
        <w:tc>
          <w:tcPr>
            <w:tcBorders>
              <w:top w:val="single" w:color="auto" w:sz="12"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型号</w:t>
            </w:r>
            <w:r/>
          </w:p>
        </w:tc>
        <w:tc>
          <w:tcPr>
            <w:tcBorders>
              <w:top w:val="single" w:color="auto" w:sz="12"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规格</w:t>
            </w:r>
            <w:r/>
          </w:p>
        </w:tc>
        <w:tc>
          <w:tcPr>
            <w:tcBorders>
              <w:top w:val="single" w:color="auto" w:sz="12"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数量/单位</w:t>
            </w:r>
            <w:r/>
          </w:p>
        </w:tc>
        <w:tc>
          <w:tcPr>
            <w:tcBorders>
              <w:top w:val="single" w:color="auto" w:sz="12"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单报价</w:t>
            </w:r>
            <w:r/>
          </w:p>
        </w:tc>
        <w:tc>
          <w:tcPr>
            <w:tcBorders>
              <w:top w:val="single" w:color="auto" w:sz="12"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分项总报价</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制造商</w:t>
            </w:r>
            <w:r/>
          </w:p>
        </w:tc>
        <w:tc>
          <w:tcPr>
            <w:tcBorders>
              <w:top w:val="single" w:color="auto" w:sz="12"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12" w:space="0"/>
            </w:tcBorders>
            <w:tcW w:w="1188"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备注</w:t>
            </w:r>
            <w:r/>
          </w:p>
        </w:tc>
      </w:tr>
      <w:tr>
        <w:trPr>
          <w:jc w:val="center"/>
          <w:trHeight w:val="407"/>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12" w:space="0"/>
            </w:tcBorders>
            <w:tcW w:w="118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80"/>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12" w:space="0"/>
            </w:tcBorders>
            <w:tcW w:w="118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300"/>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12" w:space="0"/>
            </w:tcBorders>
            <w:tcW w:w="118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12" w:space="0"/>
            </w:tcBorders>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12" w:space="0"/>
            </w:tcBorders>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12" w:space="0"/>
            </w:tcBorders>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12" w:space="0"/>
            </w:tcBorders>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12" w:space="0"/>
            </w:tcBorders>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12" w:space="0"/>
            </w:tcBorders>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12" w:space="0"/>
            </w:tcBorders>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285"/>
        </w:trPr>
        <w:tc>
          <w:tcPr>
            <w:tcBorders>
              <w:top w:val="single" w:color="auto" w:sz="6" w:space="0"/>
              <w:left w:val="single" w:color="auto" w:sz="12" w:space="0"/>
              <w:bottom w:val="single" w:color="auto" w:sz="12" w:space="0"/>
              <w:right w:val="single" w:color="auto"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12"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12" w:space="0"/>
              <w:right w:val="single" w:color="auto"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99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85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12" w:space="0"/>
            </w:tcBorders>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bl>
    <w:p>
      <w:pPr>
        <w:spacing w:line="360" w:lineRule="exact"/>
        <w:rPr>
          <w:rFonts w:ascii="宋体" w:hAnsi="宋体" w:eastAsia="宋体" w:cs="Times New Roman"/>
          <w:bCs/>
          <w:szCs w:val="21"/>
        </w:rPr>
      </w:pPr>
      <w:r>
        <w:rPr>
          <w:rFonts w:ascii="宋体" w:hAnsi="宋体" w:eastAsia="宋体" w:cs="Times New Roman"/>
          <w:bCs/>
          <w:szCs w:val="21"/>
        </w:rPr>
      </w:r>
      <w:r/>
    </w:p>
    <w:p>
      <w:pPr>
        <w:spacing w:line="360" w:lineRule="exact"/>
        <w:rPr>
          <w:rFonts w:ascii="宋体" w:hAnsi="宋体" w:eastAsia="宋体" w:cs="Times New Roman"/>
          <w:bCs/>
          <w:szCs w:val="21"/>
        </w:rPr>
      </w:pPr>
      <w:r>
        <w:rPr>
          <w:rFonts w:hint="eastAsia" w:ascii="宋体" w:hAnsi="宋体" w:eastAsia="宋体" w:cs="Times New Roman"/>
          <w:bCs/>
          <w:szCs w:val="21"/>
        </w:rPr>
        <w:t xml:space="preserve">注：1、所报产品的各项指标必须等于或大于采购文件需求中所列要求。</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2、请各投标单位根据本项目的相关需求，提出符合实际的报价明细，偏离或补充之处请作重点说明。</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3、本表可根据需要自行添行。</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4、因表述含糊导致的评审风险将由投标人承担。（必须详细填写品牌、型号、规格。）</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5、如有需要说明的事项，请在备注中列明。</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五、商务、技术要求响应及偏离表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w:t>
      </w:r>
      <w:r>
        <w:rPr>
          <w:rFonts w:hint="eastAsia" w:ascii="宋体" w:hAnsi="宋体" w:eastAsia="宋体" w:cs="Times New Roman"/>
          <w:szCs w:val="21"/>
        </w:rPr>
        <w:t xml:space="preserve">作出</w:t>
      </w:r>
      <w:r>
        <w:rPr>
          <w:rFonts w:hint="eastAsia" w:ascii="宋体" w:hAnsi="宋体" w:eastAsia="宋体" w:cs="Times New Roman"/>
          <w:szCs w:val="21"/>
        </w:rPr>
        <w:t xml:space="preserve">说明；若投标单位对某一事项是否存在或是否属于偏离不能确定，亦必须清楚标明该事项并在“有无偏离”栏中填写“不能确定”。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4、“投标文件技术规范描述”完全照抄“招标文件技术要求”的，有被判定为负偏离的风险。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w:t>
      </w:r>
      <w:r>
        <w:rPr>
          <w:rFonts w:hint="eastAsia" w:ascii="黑体" w:hAnsi="黑体" w:eastAsia="黑体" w:cs="Times New Roman"/>
          <w:sz w:val="28"/>
          <w:szCs w:val="28"/>
        </w:rPr>
        <w:t xml:space="preserve">、法定代表人授权委托书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七</w:t>
      </w:r>
      <w:r>
        <w:rPr>
          <w:rFonts w:hint="eastAsia" w:ascii="黑体" w:hAnsi="黑体" w:eastAsia="黑体" w:cs="Times New Roman"/>
          <w:sz w:val="28"/>
          <w:szCs w:val="28"/>
        </w:rPr>
        <w:t xml:space="preserve">、关于资格的声明函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w:t>
      </w:r>
      <w:r>
        <w:rPr>
          <w:rFonts w:hint="eastAsia" w:ascii="宋体" w:hAnsi="宋体" w:eastAsia="宋体" w:cs="Times New Roman"/>
          <w:bCs/>
          <w:sz w:val="24"/>
          <w:szCs w:val="24"/>
        </w:rPr>
        <w:t xml:space="preserve">《中华人民共和国政府采购法》</w:t>
      </w:r>
      <w:r>
        <w:rPr>
          <w:rFonts w:hint="eastAsia" w:ascii="宋体" w:hAnsi="宋体" w:eastAsia="宋体" w:cs="Times New Roman"/>
          <w:bCs/>
          <w:sz w:val="24"/>
          <w:szCs w:val="24"/>
        </w:rPr>
        <w:t xml:space="preserve">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w:t>
      </w:r>
      <w:r>
        <w:rPr>
          <w:rFonts w:hint="eastAsia" w:ascii="宋体" w:hAnsi="宋体" w:eastAsia="宋体" w:cs="Times New Roman"/>
          <w:b/>
          <w:bCs/>
          <w:szCs w:val="21"/>
        </w:rPr>
        <w:t xml:space="preserve">作出</w:t>
      </w:r>
      <w:r>
        <w:rPr>
          <w:rFonts w:hint="eastAsia" w:ascii="宋体" w:hAnsi="宋体" w:eastAsia="宋体" w:cs="Times New Roman"/>
          <w:b/>
          <w:bCs/>
          <w:szCs w:val="21"/>
        </w:rPr>
        <w:t xml:space="preserve">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w:t>
      </w:r>
      <w:r>
        <w:rPr>
          <w:rFonts w:hint="eastAsia" w:ascii="黑体" w:hAnsi="黑体" w:eastAsia="黑体" w:cs="Times New Roman"/>
          <w:sz w:val="28"/>
          <w:szCs w:val="28"/>
        </w:rPr>
        <w:t xml:space="preserve">中小企业声明函（货物）</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right="158"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本公司（联合体）郑重声明，根据《政府采购促进中小企业发展管理办法》（财库</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2020</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46</w:t>
      </w:r>
      <w:r>
        <w:rPr>
          <w:rFonts w:hint="eastAsia" w:ascii="宋体" w:hAnsi="宋体" w:eastAsia="宋体" w:cs="仿宋"/>
          <w:sz w:val="24"/>
          <w:szCs w:val="24"/>
          <w:lang w:eastAsia="zh-TW"/>
        </w:rPr>
        <w:t xml:space="preserve">号）的规定，本公司（联合体）参加</w:t>
      </w:r>
      <w:r>
        <w:rPr>
          <w:rFonts w:hint="eastAsia" w:ascii="宋体" w:hAnsi="宋体" w:eastAsia="宋体" w:cs="仿宋"/>
          <w:sz w:val="24"/>
          <w:szCs w:val="24"/>
          <w:u w:val="single"/>
          <w:lang w:eastAsia="zh-TW"/>
        </w:rPr>
        <w:t xml:space="preserve">江阴市璜土镇人民政府</w:t>
      </w:r>
      <w:r>
        <w:rPr>
          <w:rFonts w:hint="eastAsia" w:ascii="宋体" w:hAnsi="宋体" w:eastAsia="宋体" w:cs="仿宋"/>
          <w:sz w:val="24"/>
          <w:szCs w:val="24"/>
          <w:lang w:eastAsia="zh-TW"/>
        </w:rPr>
        <w:t xml:space="preserve">的</w:t>
      </w:r>
      <w:r>
        <w:rPr>
          <w:rFonts w:hint="eastAsia" w:ascii="宋体" w:hAnsi="宋体" w:eastAsia="宋体" w:cs="仿宋"/>
          <w:sz w:val="24"/>
          <w:szCs w:val="24"/>
          <w:u w:val="single"/>
          <w:lang w:eastAsia="zh-TW"/>
        </w:rPr>
        <w:t xml:space="preserve">江阴市璜土中心幼儿园新园家具采购项目</w:t>
      </w:r>
      <w:r>
        <w:rPr>
          <w:rFonts w:hint="eastAsia" w:ascii="宋体" w:hAnsi="宋体" w:eastAsia="宋体" w:cs="仿宋"/>
          <w:sz w:val="24"/>
          <w:szCs w:val="24"/>
          <w:lang w:eastAsia="zh-TW"/>
        </w:rPr>
        <w:t xml:space="preserve">采购活动，提供的货物全部由符合政策要求的中小企业制造。相关企业（含联合体中的中小企业、签订分包意向协议的中小企业）的具体情况如下：</w:t>
      </w:r>
      <w:r/>
    </w:p>
    <w:p>
      <w:pPr>
        <w:ind w:firstLine="480"/>
        <w:jc w:val="left"/>
        <w:spacing w:line="400" w:lineRule="exact"/>
        <w:rPr>
          <w:rFonts w:ascii="宋体" w:hAnsi="宋体" w:eastAsia="宋体" w:cs="Times New Roman"/>
          <w:sz w:val="24"/>
          <w:szCs w:val="24"/>
        </w:rPr>
      </w:pPr>
      <w:r>
        <w:rPr>
          <w:rFonts w:hint="eastAsia" w:ascii="宋体" w:hAnsi="宋体" w:eastAsia="宋体" w:cs="仿宋"/>
          <w:sz w:val="24"/>
          <w:szCs w:val="24"/>
        </w:rPr>
        <w:t xml:space="preserve">1</w:t>
      </w:r>
      <w:r>
        <w:rPr>
          <w:rFonts w:ascii="宋体" w:hAnsi="宋体" w:eastAsia="宋体" w:cs="仿宋"/>
          <w:sz w:val="24"/>
          <w:szCs w:val="24"/>
        </w:rPr>
        <w:t xml:space="preserve">.</w:t>
      </w:r>
      <w:r>
        <w:rPr>
          <w:rFonts w:hint="eastAsia" w:ascii="宋体" w:hAnsi="宋体" w:eastAsia="宋体" w:cs="仿宋"/>
          <w:sz w:val="24"/>
          <w:szCs w:val="24"/>
          <w:u w:val="single"/>
        </w:rPr>
        <w:t xml:space="preserve">（标的名称）</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工业</w:t>
      </w:r>
      <w:r>
        <w:rPr>
          <w:rFonts w:hint="eastAsia" w:ascii="宋体" w:hAnsi="宋体" w:eastAsia="宋体" w:cs="仿宋"/>
          <w:sz w:val="24"/>
          <w:szCs w:val="24"/>
        </w:rPr>
        <w:t xml:space="preserve">；制造商为</w:t>
      </w:r>
      <w:r>
        <w:rPr>
          <w:rFonts w:hint="eastAsia" w:ascii="宋体" w:hAnsi="宋体" w:eastAsia="宋体" w:cs="仿宋"/>
          <w:sz w:val="24"/>
          <w:szCs w:val="24"/>
          <w:u w:val="single"/>
        </w:rPr>
        <w:t xml:space="preserve">  （企业名称）  </w:t>
      </w:r>
      <w:r>
        <w:rPr>
          <w:rFonts w:hint="eastAsia" w:ascii="宋体" w:hAnsi="宋体" w:eastAsia="宋体" w:cs="仿宋"/>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仿宋"/>
          <w:sz w:val="24"/>
          <w:szCs w:val="24"/>
        </w:rPr>
        <w:t xml:space="preserve">人，营业</w:t>
      </w:r>
      <w:r>
        <w:rPr>
          <w:rFonts w:hint="eastAsia" w:ascii="宋体" w:hAnsi="宋体" w:eastAsia="宋体" w:cs="Times New Roman"/>
          <w:sz w:val="24"/>
          <w:szCs w:val="24"/>
        </w:rPr>
        <w:t xml:space="preserve">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１</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lang w:eastAsia="zh-TW"/>
        </w:rPr>
      </w:pPr>
      <w:r>
        <w:rPr>
          <w:rFonts w:ascii="宋体" w:hAnsi="宋体" w:eastAsia="宋体" w:cs="仿宋"/>
          <w:sz w:val="24"/>
          <w:szCs w:val="24"/>
          <w:lang w:eastAsia="zh-TW"/>
        </w:rPr>
        <w:t xml:space="preserve">2.</w:t>
      </w:r>
      <w:r>
        <w:rPr>
          <w:rFonts w:hint="eastAsia" w:ascii="宋体" w:hAnsi="宋体" w:eastAsia="宋体" w:cs="仿宋"/>
          <w:sz w:val="24"/>
          <w:szCs w:val="24"/>
          <w:u w:val="single"/>
          <w:lang w:eastAsia="zh-TW"/>
        </w:rPr>
        <w:t xml:space="preserve">（标的名称）</w:t>
      </w:r>
      <w:r>
        <w:rPr>
          <w:rFonts w:hint="eastAsia" w:ascii="宋体" w:hAnsi="宋体" w:eastAsia="宋体" w:cs="仿宋"/>
          <w:sz w:val="24"/>
          <w:szCs w:val="24"/>
          <w:lang w:eastAsia="zh-TW"/>
        </w:rPr>
        <w:t xml:space="preserve">，属于</w:t>
      </w:r>
      <w:r>
        <w:rPr>
          <w:rFonts w:hint="eastAsia" w:ascii="宋体" w:hAnsi="宋体" w:eastAsia="宋体" w:cs="仿宋"/>
          <w:sz w:val="24"/>
          <w:szCs w:val="24"/>
          <w:u w:val="single"/>
        </w:rPr>
        <w:t xml:space="preserve">工业</w:t>
      </w:r>
      <w:r>
        <w:rPr>
          <w:rFonts w:hint="eastAsia" w:ascii="宋体" w:hAnsi="宋体" w:eastAsia="宋体" w:cs="仿宋"/>
          <w:sz w:val="24"/>
          <w:szCs w:val="24"/>
          <w:lang w:eastAsia="zh-TW"/>
        </w:rPr>
        <w:t xml:space="preserve">；制造商为</w:t>
      </w:r>
      <w:r>
        <w:rPr>
          <w:rFonts w:hint="eastAsia" w:ascii="宋体" w:hAnsi="宋体" w:eastAsia="宋体" w:cs="仿宋"/>
          <w:sz w:val="24"/>
          <w:szCs w:val="24"/>
          <w:u w:val="single"/>
        </w:rPr>
        <w:t xml:space="preserve">  （企业名称）  </w:t>
      </w:r>
      <w:r>
        <w:rPr>
          <w:rFonts w:hint="eastAsia" w:ascii="宋体" w:hAnsi="宋体" w:eastAsia="宋体" w:cs="仿宋"/>
          <w:sz w:val="24"/>
          <w:szCs w:val="24"/>
          <w:lang w:eastAsia="zh-TW"/>
        </w:rPr>
        <w:t xml:space="preserve">，从业人员</w:t>
      </w:r>
      <w:r>
        <w:rPr>
          <w:rFonts w:hint="eastAsia" w:ascii="宋体" w:hAnsi="宋体" w:eastAsia="宋体" w:cs="Times New Roman"/>
          <w:sz w:val="24"/>
          <w:szCs w:val="24"/>
          <w:u w:val="single"/>
          <w:lang w:eastAsia="zh-TW"/>
        </w:rPr>
        <w:t xml:space="preserve">　　</w:t>
      </w:r>
      <w:r>
        <w:rPr>
          <w:rFonts w:hint="eastAsia" w:ascii="宋体" w:hAnsi="宋体" w:eastAsia="宋体" w:cs="仿宋"/>
          <w:sz w:val="24"/>
          <w:szCs w:val="24"/>
          <w:lang w:eastAsia="zh-TW"/>
        </w:rPr>
        <w:t xml:space="preserve">人，营业</w:t>
      </w:r>
      <w:r>
        <w:rPr>
          <w:rFonts w:hint="eastAsia" w:ascii="宋体" w:hAnsi="宋体" w:eastAsia="宋体" w:cs="Times New Roman"/>
          <w:sz w:val="24"/>
          <w:szCs w:val="24"/>
          <w:lang w:eastAsia="zh-TW"/>
        </w:rPr>
        <w:t xml:space="preserve">收入为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万元，资产总额为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w:t>
      </w:r>
      <w:r>
        <w:rPr>
          <w:rFonts w:hint="eastAsia" w:ascii="宋体" w:hAnsi="宋体" w:eastAsia="宋体" w:cs="Times New Roman"/>
          <w:sz w:val="24"/>
          <w:szCs w:val="24"/>
          <w:vertAlign w:val="superscript"/>
          <w:lang w:eastAsia="zh-TW"/>
        </w:rPr>
        <w:t xml:space="preserve">１</w:t>
      </w:r>
      <w:r>
        <w:rPr>
          <w:rFonts w:hint="eastAsia" w:ascii="宋体" w:hAnsi="宋体" w:eastAsia="宋体" w:cs="Times New Roman"/>
          <w:sz w:val="24"/>
          <w:szCs w:val="24"/>
          <w:lang w:eastAsia="zh-TW"/>
        </w:rPr>
        <w:t xml:space="preserve">，属于</w:t>
      </w:r>
      <w:r>
        <w:rPr>
          <w:rFonts w:hint="eastAsia" w:ascii="宋体" w:hAnsi="宋体" w:eastAsia="宋体" w:cs="Times New Roman"/>
          <w:sz w:val="24"/>
          <w:szCs w:val="24"/>
          <w:u w:val="single"/>
          <w:lang w:eastAsia="zh-TW"/>
        </w:rPr>
        <w:t xml:space="preserve">（中型企业、小型企业、微型企业）</w:t>
      </w:r>
      <w:r>
        <w:rPr>
          <w:rFonts w:hint="eastAsia" w:ascii="宋体" w:hAnsi="宋体" w:eastAsia="宋体" w:cs="Times New Roman"/>
          <w:sz w:val="24"/>
          <w:szCs w:val="24"/>
          <w:lang w:eastAsia="zh-TW"/>
        </w:rPr>
        <w:t xml:space="preserve">；</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w:t>
      </w:r>
      <w:r/>
    </w:p>
    <w:p>
      <w:pPr>
        <w:ind w:right="158"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以上企业，不属于大企业的分支机构，不存在控股股东为大企业的情形，也不存在与大企业的负责人为同一人的情形。</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本企业对上述声明内容的真实性负责。如有虚假，将依法承担相应责任。</w:t>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8"/>
          <w:szCs w:val="28"/>
        </w:rPr>
        <w:outlineLvl w:val="1"/>
      </w:pPr>
      <w:r>
        <w:rPr>
          <w:rFonts w:hint="eastAsia" w:ascii="宋体" w:hAnsi="宋体" w:eastAsia="宋体" w:cs="Times New Roman"/>
          <w:bCs/>
          <w:sz w:val="24"/>
          <w:szCs w:val="24"/>
        </w:rPr>
        <w:t xml:space="preserve">日期：     年    月    日</w:t>
      </w:r>
      <w:r/>
    </w:p>
    <w:p>
      <w:pPr>
        <w:spacing w:line="400" w:lineRule="exact"/>
        <w:rPr>
          <w:rFonts w:ascii="宋体" w:hAnsi="宋体" w:eastAsia="宋体" w:cs="Times New Roman"/>
          <w:b/>
          <w:bCs/>
          <w:szCs w:val="24"/>
        </w:rPr>
      </w:pPr>
      <w:r>
        <w:rPr>
          <w:rFonts w:ascii="宋体" w:hAnsi="宋体" w:eastAsia="宋体" w:cs="Times New Roman"/>
          <w:b/>
          <w:bCs/>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jc w:val="left"/>
        <w:spacing w:line="360" w:lineRule="exact"/>
        <w:rPr>
          <w:rFonts w:ascii="宋体" w:hAnsi="宋体" w:eastAsia="宋体" w:cs="仿宋_GB2312"/>
          <w:sz w:val="24"/>
          <w:szCs w:val="24"/>
        </w:rPr>
      </w:pPr>
      <w:r>
        <w:rPr>
          <w:rFonts w:hint="eastAsia" w:ascii="宋体" w:hAnsi="宋体" w:eastAsia="宋体" w:cs="仿宋_GB2312"/>
          <w:sz w:val="18"/>
          <w:szCs w:val="18"/>
        </w:rPr>
        <w:t xml:space="preserve">注：</w:t>
      </w:r>
      <w:r>
        <w:rPr>
          <w:rFonts w:ascii="宋体" w:hAnsi="宋体" w:eastAsia="宋体" w:cs="仿宋_GB2312"/>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w:t>
      </w:r>
      <w:r>
        <w:rPr>
          <w:rFonts w:hint="eastAsia" w:ascii="宋体" w:hAnsi="宋体" w:eastAsia="宋体" w:cs="宋体"/>
          <w:sz w:val="18"/>
          <w:szCs w:val="18"/>
        </w:rPr>
        <w:t xml:space="preserve">一</w:t>
      </w:r>
      <w:r>
        <w:rPr>
          <w:rFonts w:hint="eastAsia" w:ascii="宋体" w:hAnsi="宋体" w:eastAsia="宋体" w:cs="宋体"/>
          <w:sz w:val="18"/>
          <w:szCs w:val="18"/>
        </w:rPr>
        <w:t xml:space="preserve">年度数据的新成立企业可不填报。</w:t>
      </w:r>
      <w:r/>
    </w:p>
    <w:p>
      <w:pPr>
        <w:ind w:firstLine="360"/>
        <w:spacing w:line="360" w:lineRule="exact"/>
        <w:rPr>
          <w:rFonts w:ascii="宋体" w:hAnsi="宋体" w:eastAsia="宋体" w:cs="宋体"/>
          <w:sz w:val="18"/>
          <w:szCs w:val="18"/>
        </w:rPr>
      </w:pPr>
      <w:r>
        <w:rPr>
          <w:rFonts w:hint="eastAsia" w:ascii="宋体" w:hAnsi="宋体" w:eastAsia="宋体" w:cs="Times New Roman"/>
          <w:position w:val="6"/>
          <w:sz w:val="18"/>
          <w:szCs w:val="18"/>
          <w:vertAlign w:val="superscript"/>
        </w:rPr>
        <w:t xml:space="preserve">2</w:t>
      </w:r>
      <w:r>
        <w:rPr>
          <w:rFonts w:hint="eastAsia" w:ascii="宋体" w:hAnsi="宋体" w:eastAsia="宋体" w:cs="宋体"/>
          <w:sz w:val="18"/>
          <w:szCs w:val="18"/>
        </w:rPr>
        <w:t xml:space="preserve">本项目既有中小企业制造货物，也有大型企业制造货物的，不享受本办法规定的中小企业扶持政策。中标、成交供应商的《中小企业声明函》将随中标、成交公告进行公示。供应</w:t>
      </w:r>
      <w:r>
        <w:rPr>
          <w:rFonts w:hint="eastAsia" w:ascii="宋体" w:hAnsi="宋体" w:eastAsia="宋体" w:cs="宋体"/>
          <w:sz w:val="18"/>
          <w:szCs w:val="18"/>
        </w:rPr>
        <w:t xml:space="preserve">商按照</w:t>
      </w:r>
      <w:r>
        <w:rPr>
          <w:rFonts w:hint="eastAsia" w:ascii="宋体" w:hAnsi="宋体" w:eastAsia="宋体" w:cs="宋体"/>
          <w:sz w:val="18"/>
          <w:szCs w:val="18"/>
        </w:rPr>
        <w:t xml:space="preserve">本办法规定提供声明</w:t>
      </w:r>
      <w:r>
        <w:rPr>
          <w:rFonts w:hint="eastAsia" w:ascii="宋体" w:hAnsi="宋体" w:eastAsia="宋体" w:cs="宋体"/>
          <w:sz w:val="18"/>
          <w:szCs w:val="18"/>
        </w:rPr>
        <w:t xml:space="preserve">函内容</w:t>
      </w:r>
      <w:r>
        <w:rPr>
          <w:rFonts w:hint="eastAsia" w:ascii="宋体" w:hAnsi="宋体" w:eastAsia="宋体" w:cs="宋体"/>
          <w:sz w:val="18"/>
          <w:szCs w:val="18"/>
        </w:rPr>
        <w:t xml:space="preserve">不实的，属于提供虚假材料谋取中标、成交，依照《中华人民共和国政府采购法》等国家有关规定追究相应责任。</w:t>
      </w:r>
      <w:r/>
    </w:p>
    <w:p>
      <w:pPr>
        <w:ind w:firstLine="360"/>
        <w:spacing w:line="360" w:lineRule="exact"/>
        <w:rPr>
          <w:rFonts w:ascii="Times New Roman" w:hAnsi="Times New Roman" w:eastAsia="宋体" w:cs="Times New Roman"/>
          <w:szCs w:val="24"/>
        </w:rPr>
      </w:pPr>
      <w:r>
        <w:rPr>
          <w:rFonts w:hint="eastAsia" w:ascii="宋体" w:hAnsi="宋体" w:eastAsia="宋体" w:cs="Times New Roman"/>
          <w:position w:val="6"/>
          <w:sz w:val="18"/>
          <w:szCs w:val="18"/>
          <w:vertAlign w:val="superscript"/>
        </w:rPr>
        <w:t xml:space="preserve">3</w:t>
      </w:r>
      <w:r>
        <w:rPr>
          <w:rFonts w:hint="eastAsia" w:ascii="宋体" w:hAnsi="宋体" w:eastAsia="宋体" w:cs="宋体"/>
          <w:sz w:val="18"/>
          <w:szCs w:val="18"/>
        </w:rPr>
        <w:t xml:space="preserve">本表由投标（报价）供应商填写盖章。</w:t>
      </w:r>
      <w:r/>
    </w:p>
    <w:p>
      <w:pPr>
        <w:jc w:val="center"/>
        <w:spacing w:line="400" w:lineRule="exact"/>
        <w:rPr>
          <w:rFonts w:ascii="宋体" w:hAnsi="宋体" w:eastAsia="宋体" w:cs="Times New Roman"/>
          <w:spacing w:val="6"/>
          <w:sz w:val="28"/>
          <w:szCs w:val="28"/>
        </w:rPr>
      </w:pPr>
      <w:r>
        <w:rPr>
          <w:rFonts w:ascii="宋体" w:hAnsi="宋体" w:eastAsia="宋体" w:cs="Times New Roman"/>
          <w:spacing w:val="6"/>
          <w:sz w:val="28"/>
          <w:szCs w:val="28"/>
        </w:rPr>
      </w:r>
      <w:r/>
    </w:p>
    <w:p>
      <w:pPr>
        <w:jc w:val="center"/>
        <w:spacing w:line="400" w:lineRule="exact"/>
        <w:rPr>
          <w:rFonts w:ascii="宋体" w:hAnsi="宋体" w:eastAsia="宋体" w:cs="Times New Roman"/>
          <w:spacing w:val="6"/>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pacing w:val="6"/>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本单位郑重声明，根据《财政部 民政部 中国残疾人联合会关于促进残疾人就业政府采购政策的通知》（财库</w:t>
      </w:r>
      <w:r>
        <w:rPr>
          <w:rFonts w:hint="eastAsia" w:ascii="宋体" w:hAnsi="宋体" w:eastAsia="宋体" w:cs="Times New Roman"/>
          <w:sz w:val="24"/>
          <w:szCs w:val="24"/>
        </w:rPr>
        <w:t xml:space="preserve">〔2017〕 141</w:t>
      </w:r>
      <w:r>
        <w:rPr>
          <w:rFonts w:hint="eastAsia" w:ascii="宋体" w:hAnsi="宋体" w:eastAsia="宋体" w:cs="Times New Roman"/>
          <w:spacing w:val="6"/>
          <w:sz w:val="24"/>
          <w:szCs w:val="24"/>
        </w:rPr>
        <w:t xml:space="preserve">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w:t>
      </w:r>
      <w:r>
        <w:rPr>
          <w:rFonts w:hint="eastAsia" w:ascii="宋体" w:hAnsi="宋体" w:eastAsia="宋体" w:cs="Times New Roman"/>
          <w:spacing w:val="6"/>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本单位对上述声明的真实性负责。如有虚假，将依法承担相应责任。</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日期：     年    月    日</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Tahoma">
    <w:panose1 w:val="020B0604030504040204"/>
  </w:font>
  <w:font w:name="Symbol">
    <w:panose1 w:val="05050102010706020507"/>
  </w:font>
  <w:font w:name="Wingdings">
    <w:panose1 w:val="05000000000000000000"/>
  </w:font>
  <w:font w:name="Courier New">
    <w:panose1 w:val="02070309020205020404"/>
  </w:font>
  <w:font w:name="仿宋">
    <w:panose1 w:val="02010609060101010101"/>
  </w:font>
  <w:font w:name="Batang">
    <w:panose1 w:val="02010600040101010101"/>
  </w:font>
  <w:font w:name="Calibri">
    <w:panose1 w:val="020F0502020204030204"/>
  </w:font>
  <w:font w:name="楷体_GB2312">
    <w:panose1 w:val="02010609060101010101"/>
  </w:font>
  <w:font w:name="宋体">
    <w:panose1 w:val="02010600030101010101"/>
  </w:font>
  <w:font w:name="Times New Roman">
    <w:panose1 w:val="02020603050405020304"/>
  </w:font>
  <w:font w:name="仿宋_GB2312">
    <w:panose1 w:val="02010609060101010101"/>
  </w:font>
  <w:font w:name="黑体">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docPartObj>
        <w:docPartGallery w:val="Page Numbers (Bottom of Page)"/>
        <w:docPartUnique w:val="true"/>
      </w:docPartObj>
      <w:rPr/>
    </w:sdtPr>
    <w:sdtContent>
      <w:p>
        <w:pPr>
          <w:pStyle w:val="962"/>
          <w:jc w:val="center"/>
        </w:pPr>
        <w:r>
          <w:fldChar w:fldCharType="begin"/>
        </w:r>
        <w:r>
          <w:instrText xml:space="preserve">PAGE   \* MERGEFORMAT</w:instrText>
        </w:r>
        <w:r>
          <w:fldChar w:fldCharType="separate"/>
        </w:r>
        <w:r>
          <w:rPr>
            <w:lang w:val="zh-CN"/>
          </w:rPr>
          <w:t xml:space="preserve">-</w:t>
        </w:r>
        <w:r>
          <w:t xml:space="preserve"> 23 -</w:t>
        </w:r>
        <w:r>
          <w:fldChar w:fldCharType="end"/>
        </w:r>
        <w:r/>
      </w:p>
    </w:sdtContent>
  </w:sdt>
  <w:p>
    <w:pPr>
      <w:pStyle w:val="9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p>
  <w:p>
    <w:pPr>
      <w:pStyle w:val="96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JSZC-320281-JZCG-G2025-00</w:t>
    </w:r>
    <w:r>
      <w:rPr>
        <w:rFonts w:hint="eastAsia" w:ascii="黑体" w:hAnsi="黑体" w:eastAsia="黑体" w:cs="Times New Roman"/>
        <w:bCs/>
        <w:sz w:val="16"/>
        <w:szCs w:val="18"/>
      </w:rPr>
      <w:t xml:space="preserve">66</w:t>
    </w:r>
    <w:r>
      <w:rPr>
        <w:rFonts w:hint="eastAsia" w:ascii="黑体" w:hAnsi="黑体" w:eastAsia="黑体" w:cs="Times New Roman"/>
        <w:bCs/>
        <w:sz w:val="16"/>
        <w:szCs w:val="18"/>
      </w:rPr>
      <w:t xml:space="preserve">江阴市</w:t>
    </w:r>
    <w:r>
      <w:rPr>
        <w:rFonts w:hint="eastAsia" w:ascii="黑体" w:hAnsi="黑体" w:eastAsia="黑体" w:cs="Times New Roman"/>
        <w:bCs/>
        <w:sz w:val="16"/>
        <w:szCs w:val="18"/>
      </w:rPr>
      <w:t xml:space="preserve">璜土中心</w:t>
    </w:r>
    <w:r>
      <w:rPr>
        <w:rFonts w:hint="eastAsia" w:ascii="黑体" w:hAnsi="黑体" w:eastAsia="黑体" w:cs="Times New Roman"/>
        <w:bCs/>
        <w:sz w:val="16"/>
        <w:szCs w:val="18"/>
      </w:rPr>
      <w:t xml:space="preserve">幼儿园新园家具采购项目</w:t>
    </w:r>
    <w:r>
      <w:rPr>
        <w:rFonts w:hint="eastAsia" w:ascii="黑体" w:hAnsi="黑体" w:eastAsia="黑体" w:cs="Times New Roman"/>
        <w:bCs/>
        <w:sz w:val="16"/>
        <w:szCs w:val="18"/>
      </w:rPr>
      <w:t xml:space="preserve">                                    </w:t>
    </w:r>
    <w:r>
      <w:rPr>
        <w:rFonts w:hint="eastAsia" w:ascii="黑体" w:hAnsi="黑体" w:eastAsia="黑体" w:cs="Times New Roman"/>
        <w:bCs/>
        <w:sz w:val="16"/>
        <w:szCs w:val="18"/>
      </w:rPr>
      <w:t xml:space="preserve">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874" w:hanging="42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9">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1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0"/>
      </w:pPr>
      <w:rPr>
        <w:rFonts w:hint="default"/>
      </w:rPr>
    </w:lvl>
    <w:lvl w:ilvl="1">
      <w:start w:val="1"/>
      <w:numFmt w:val="decimal"/>
      <w:isLgl w:val="false"/>
      <w:suff w:val="space"/>
      <w:lvlText w:val="%1.%2."/>
      <w:lvlJc w:val="left"/>
      <w:pPr>
        <w:ind w:left="0" w:firstLine="283"/>
      </w:pPr>
      <w:rPr>
        <w:rFonts w:hint="default"/>
      </w:rPr>
    </w:lvl>
    <w:lvl w:ilvl="2">
      <w:start w:val="1"/>
      <w:numFmt w:val="decimal"/>
      <w:isLgl w:val="false"/>
      <w:suff w:val="space"/>
      <w:lvlText w:val="%1.%2.%3."/>
      <w:lvlJc w:val="left"/>
      <w:pPr>
        <w:ind w:left="0" w:firstLine="567"/>
      </w:pPr>
      <w:rPr>
        <w:rFonts w:hint="default"/>
      </w:rPr>
    </w:lvl>
    <w:lvl w:ilvl="3">
      <w:start w:val="1"/>
      <w:numFmt w:val="decimal"/>
      <w:isLgl w:val="false"/>
      <w:suff w:val="space"/>
      <w:lvlText w:val="%1.%2.%3.%4."/>
      <w:lvlJc w:val="left"/>
      <w:pPr>
        <w:ind w:left="0" w:firstLine="85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1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9"/>
      <w:numFmt w:val="decimal"/>
      <w:isLgl w:val="false"/>
      <w:suff w:val="tab"/>
      <w:lvlText w:val="%1."/>
      <w:lvlJc w:val="left"/>
      <w:pPr>
        <w:ind w:left="425" w:hanging="425"/>
      </w:pPr>
      <w:rPr>
        <w:rFonts w:hint="default" w:ascii="宋体" w:hAnsi="宋体" w:eastAsia="宋体" w:cs="宋体"/>
      </w:rPr>
    </w:lvl>
    <w:lvl w:ilvl="1">
      <w:start w:val="1"/>
      <w:numFmt w:val="decimal"/>
      <w:isLgl w:val="false"/>
      <w:suff w:val="nothing"/>
      <w:lvlText w:val="8.%2、"/>
      <w:lvlJc w:val="left"/>
      <w:pPr>
        <w:ind w:left="567" w:hanging="567"/>
      </w:pPr>
      <w:rPr>
        <w:rFonts w:hint="default" w:ascii="宋体" w:hAnsi="宋体" w:eastAsia="宋体" w:cs="宋体"/>
      </w:rPr>
    </w:lvl>
    <w:lvl w:ilvl="2">
      <w:start w:val="1"/>
      <w:numFmt w:val="decimal"/>
      <w:isLgl w:val="false"/>
      <w:suff w:val="nothing"/>
      <w:lvlText w:val="8.%2.%3、"/>
      <w:lvlJc w:val="left"/>
      <w:pPr>
        <w:ind w:left="709" w:hanging="709"/>
      </w:pPr>
      <w:rPr>
        <w:rFonts w:hint="default" w:ascii="宋体" w:hAnsi="宋体" w:eastAsia="宋体" w:cs="宋体"/>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9">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9"/>
      <w:numFmt w:val="decimal"/>
      <w:isLgl w:val="false"/>
      <w:suff w:val="tab"/>
      <w:lvlText w:val="%1."/>
      <w:lvlJc w:val="left"/>
      <w:pPr>
        <w:ind w:left="425" w:hanging="425"/>
      </w:pPr>
      <w:rPr>
        <w:rFonts w:hint="default" w:ascii="宋体" w:hAnsi="宋体" w:eastAsia="宋体" w:cs="宋体"/>
      </w:rPr>
    </w:lvl>
    <w:lvl w:ilvl="1">
      <w:start w:val="1"/>
      <w:numFmt w:val="decimal"/>
      <w:isLgl w:val="false"/>
      <w:suff w:val="nothing"/>
      <w:lvlText w:val="%1.%2、"/>
      <w:lvlJc w:val="left"/>
      <w:pPr>
        <w:ind w:left="567" w:hanging="567"/>
      </w:pPr>
      <w:rPr>
        <w:rFonts w:hint="default" w:ascii="宋体" w:hAnsi="宋体" w:eastAsia="宋体" w:cs="宋体"/>
      </w:rPr>
    </w:lvl>
    <w:lvl w:ilvl="2">
      <w:start w:val="1"/>
      <w:numFmt w:val="decimal"/>
      <w:isLgl w:val="false"/>
      <w:suff w:val="nothing"/>
      <w:lvlText w:val="%1.%2.%3、"/>
      <w:lvlJc w:val="left"/>
      <w:pPr>
        <w:ind w:left="709" w:hanging="709"/>
      </w:pPr>
      <w:rPr>
        <w:rFonts w:hint="default" w:ascii="宋体" w:hAnsi="宋体" w:eastAsia="宋体" w:cs="宋体"/>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0" w:firstLine="480"/>
      </w:pPr>
      <w:rPr>
        <w:rFonts w:hint="default"/>
      </w:rPr>
    </w:lvl>
    <w:lvl w:ilvl="1">
      <w:start w:val="1"/>
      <w:numFmt w:val="decimal"/>
      <w:isLgl w:val="false"/>
      <w:suff w:val="space"/>
      <w:lvlText w:val="%1.%2."/>
      <w:lvlJc w:val="left"/>
      <w:pPr>
        <w:ind w:left="0" w:firstLine="567"/>
      </w:pPr>
      <w:rPr>
        <w:rFonts w:hint="default"/>
      </w:rPr>
    </w:lvl>
    <w:lvl w:ilvl="2">
      <w:start w:val="1"/>
      <w:numFmt w:val="decimal"/>
      <w:isLgl w:val="false"/>
      <w:suff w:val="space"/>
      <w:lvlText w:val="%1.%2.%3."/>
      <w:lvlJc w:val="left"/>
      <w:pPr>
        <w:ind w:left="0" w:firstLine="567"/>
      </w:pPr>
      <w:rPr>
        <w:rFonts w:hint="default"/>
      </w:rPr>
    </w:lvl>
    <w:lvl w:ilvl="3">
      <w:start w:val="1"/>
      <w:numFmt w:val="decimal"/>
      <w:isLgl w:val="false"/>
      <w:suff w:val="space"/>
      <w:lvlText w:val="%1.%2.%3.%4."/>
      <w:lvlJc w:val="left"/>
      <w:pPr>
        <w:ind w:left="0" w:firstLine="85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2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7"/>
      <w:numFmt w:val="decimal"/>
      <w:isLgl w:val="false"/>
      <w:suff w:val="tab"/>
      <w:lvlText w:val="%1."/>
      <w:lvlJc w:val="left"/>
      <w:pPr>
        <w:ind w:left="425" w:hanging="425"/>
      </w:pPr>
      <w:rPr>
        <w:rFonts w:hint="default" w:ascii="宋体" w:hAnsi="宋体" w:eastAsia="宋体" w:cs="宋体"/>
      </w:rPr>
    </w:lvl>
    <w:lvl w:ilvl="1">
      <w:start w:val="1"/>
      <w:numFmt w:val="decimal"/>
      <w:isLgl w:val="false"/>
      <w:suff w:val="nothing"/>
      <w:lvlText w:val="%1.%2、"/>
      <w:lvlJc w:val="left"/>
      <w:pPr>
        <w:ind w:left="567" w:hanging="567"/>
      </w:pPr>
      <w:rPr>
        <w:rFonts w:hint="default" w:ascii="宋体" w:hAnsi="宋体" w:eastAsia="宋体" w:cs="宋体"/>
      </w:rPr>
    </w:lvl>
    <w:lvl w:ilvl="2">
      <w:start w:val="1"/>
      <w:numFmt w:val="decimal"/>
      <w:isLgl w:val="false"/>
      <w:suff w:val="tab"/>
      <w:lvlText w:val="%1.%2.%3."/>
      <w:lvlJc w:val="left"/>
      <w:pPr>
        <w:ind w:left="709" w:hanging="709"/>
      </w:pPr>
      <w:rPr>
        <w:rFonts w:hint="default" w:ascii="宋体" w:hAnsi="宋体" w:eastAsia="宋体" w:cs="宋体"/>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9">
    <w:multiLevelType w:val="hybridMultilevel"/>
    <w:lvl w:ilvl="0">
      <w:start w:val="1"/>
      <w:numFmt w:val="decimal"/>
      <w:isLgl w:val="false"/>
      <w:suff w:val="nothing"/>
      <w:lvlText w:val="%1、"/>
      <w:lvlJc w:val="left"/>
      <w:pPr>
        <w:ind w:left="2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ind w:left="420" w:hanging="42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36">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40">
    <w:multiLevelType w:val="hybridMultilevel"/>
    <w:lvl w:ilvl="0">
      <w:start w:val="1"/>
      <w:numFmt w:val="decimal"/>
      <w:isLgl w:val="false"/>
      <w:suff w:val="tab"/>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4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0"/>
  </w:num>
  <w:num w:numId="3">
    <w:abstractNumId w:val="38"/>
  </w:num>
  <w:num w:numId="4">
    <w:abstractNumId w:val="13"/>
  </w:num>
  <w:num w:numId="5">
    <w:abstractNumId w:val="2"/>
  </w:num>
  <w:num w:numId="6">
    <w:abstractNumId w:val="33"/>
  </w:num>
  <w:num w:numId="7">
    <w:abstractNumId w:val="35"/>
  </w:num>
  <w:num w:numId="8">
    <w:abstractNumId w:val="42"/>
  </w:num>
  <w:num w:numId="9">
    <w:abstractNumId w:val="39"/>
  </w:num>
  <w:num w:numId="10">
    <w:abstractNumId w:val="9"/>
  </w:num>
  <w:num w:numId="11">
    <w:abstractNumId w:val="8"/>
  </w:num>
  <w:num w:numId="12">
    <w:abstractNumId w:val="11"/>
  </w:num>
  <w:num w:numId="13">
    <w:abstractNumId w:val="1"/>
  </w:num>
  <w:num w:numId="14">
    <w:abstractNumId w:val="34"/>
  </w:num>
  <w:num w:numId="15">
    <w:abstractNumId w:val="28"/>
  </w:num>
  <w:num w:numId="16">
    <w:abstractNumId w:val="41"/>
  </w:num>
  <w:num w:numId="17">
    <w:abstractNumId w:val="43"/>
  </w:num>
  <w:num w:numId="18">
    <w:abstractNumId w:val="10"/>
  </w:num>
  <w:num w:numId="19">
    <w:abstractNumId w:val="21"/>
  </w:num>
  <w:num w:numId="20">
    <w:abstractNumId w:val="18"/>
  </w:num>
  <w:num w:numId="21">
    <w:abstractNumId w:val="23"/>
  </w:num>
  <w:num w:numId="22">
    <w:abstractNumId w:val="19"/>
  </w:num>
  <w:num w:numId="23">
    <w:abstractNumId w:val="3"/>
  </w:num>
  <w:num w:numId="24">
    <w:abstractNumId w:val="14"/>
  </w:num>
  <w:num w:numId="25">
    <w:abstractNumId w:val="5"/>
  </w:num>
  <w:num w:numId="26">
    <w:abstractNumId w:val="4"/>
  </w:num>
  <w:num w:numId="27">
    <w:abstractNumId w:val="12"/>
  </w:num>
  <w:num w:numId="28">
    <w:abstractNumId w:val="22"/>
  </w:num>
  <w:num w:numId="29">
    <w:abstractNumId w:val="31"/>
  </w:num>
  <w:num w:numId="30">
    <w:abstractNumId w:val="36"/>
  </w:num>
  <w:num w:numId="31">
    <w:abstractNumId w:val="37"/>
  </w:num>
  <w:num w:numId="32">
    <w:abstractNumId w:val="15"/>
  </w:num>
  <w:num w:numId="33">
    <w:abstractNumId w:val="30"/>
  </w:num>
  <w:num w:numId="34">
    <w:abstractNumId w:val="26"/>
  </w:num>
  <w:num w:numId="35">
    <w:abstractNumId w:val="7"/>
  </w:num>
  <w:num w:numId="36">
    <w:abstractNumId w:val="16"/>
  </w:num>
  <w:num w:numId="37">
    <w:abstractNumId w:val="25"/>
  </w:num>
  <w:num w:numId="38">
    <w:abstractNumId w:val="24"/>
  </w:num>
  <w:num w:numId="39">
    <w:abstractNumId w:val="27"/>
  </w:num>
  <w:num w:numId="40">
    <w:abstractNumId w:val="32"/>
  </w:num>
  <w:num w:numId="41">
    <w:abstractNumId w:val="29"/>
  </w:num>
  <w:num w:numId="42">
    <w:abstractNumId w:val="40"/>
  </w:num>
  <w:num w:numId="43">
    <w:abstractNumId w:val="6"/>
  </w:num>
  <w:num w:numId="4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2">
    <w:name w:val="Heading 1 Char"/>
    <w:basedOn w:val="945"/>
    <w:link w:val="944"/>
    <w:uiPriority w:val="9"/>
    <w:rPr>
      <w:rFonts w:ascii="Arial" w:hAnsi="Arial" w:eastAsia="Arial" w:cs="Arial"/>
      <w:sz w:val="40"/>
      <w:szCs w:val="40"/>
    </w:rPr>
  </w:style>
  <w:style w:type="paragraph" w:styleId="783">
    <w:name w:val="Heading 2"/>
    <w:basedOn w:val="943"/>
    <w:next w:val="943"/>
    <w:link w:val="784"/>
    <w:uiPriority w:val="9"/>
    <w:unhideWhenUsed/>
    <w:qFormat/>
    <w:pPr>
      <w:keepLines/>
      <w:keepNext/>
      <w:spacing w:before="360" w:after="200"/>
      <w:outlineLvl w:val="1"/>
    </w:pPr>
    <w:rPr>
      <w:rFonts w:ascii="Arial" w:hAnsi="Arial" w:eastAsia="Arial" w:cs="Arial"/>
      <w:sz w:val="34"/>
    </w:rPr>
  </w:style>
  <w:style w:type="character" w:styleId="784">
    <w:name w:val="Heading 2 Char"/>
    <w:basedOn w:val="945"/>
    <w:link w:val="783"/>
    <w:uiPriority w:val="9"/>
    <w:rPr>
      <w:rFonts w:ascii="Arial" w:hAnsi="Arial" w:eastAsia="Arial" w:cs="Arial"/>
      <w:sz w:val="34"/>
    </w:rPr>
  </w:style>
  <w:style w:type="paragraph" w:styleId="785">
    <w:name w:val="Heading 3"/>
    <w:basedOn w:val="943"/>
    <w:next w:val="943"/>
    <w:link w:val="786"/>
    <w:uiPriority w:val="9"/>
    <w:unhideWhenUsed/>
    <w:qFormat/>
    <w:pPr>
      <w:keepLines/>
      <w:keepNext/>
      <w:spacing w:before="320" w:after="200"/>
      <w:outlineLvl w:val="2"/>
    </w:pPr>
    <w:rPr>
      <w:rFonts w:ascii="Arial" w:hAnsi="Arial" w:eastAsia="Arial" w:cs="Arial"/>
      <w:sz w:val="30"/>
      <w:szCs w:val="30"/>
    </w:rPr>
  </w:style>
  <w:style w:type="character" w:styleId="786">
    <w:name w:val="Heading 3 Char"/>
    <w:basedOn w:val="945"/>
    <w:link w:val="785"/>
    <w:uiPriority w:val="9"/>
    <w:rPr>
      <w:rFonts w:ascii="Arial" w:hAnsi="Arial" w:eastAsia="Arial" w:cs="Arial"/>
      <w:sz w:val="30"/>
      <w:szCs w:val="30"/>
    </w:rPr>
  </w:style>
  <w:style w:type="paragraph" w:styleId="787">
    <w:name w:val="Heading 4"/>
    <w:basedOn w:val="943"/>
    <w:next w:val="943"/>
    <w:link w:val="788"/>
    <w:uiPriority w:val="9"/>
    <w:unhideWhenUsed/>
    <w:qFormat/>
    <w:pPr>
      <w:keepLines/>
      <w:keepNext/>
      <w:spacing w:before="320" w:after="200"/>
      <w:outlineLvl w:val="3"/>
    </w:pPr>
    <w:rPr>
      <w:rFonts w:ascii="Arial" w:hAnsi="Arial" w:eastAsia="Arial" w:cs="Arial"/>
      <w:b/>
      <w:bCs/>
      <w:sz w:val="26"/>
      <w:szCs w:val="26"/>
    </w:rPr>
  </w:style>
  <w:style w:type="character" w:styleId="788">
    <w:name w:val="Heading 4 Char"/>
    <w:basedOn w:val="945"/>
    <w:link w:val="787"/>
    <w:uiPriority w:val="9"/>
    <w:rPr>
      <w:rFonts w:ascii="Arial" w:hAnsi="Arial" w:eastAsia="Arial" w:cs="Arial"/>
      <w:b/>
      <w:bCs/>
      <w:sz w:val="26"/>
      <w:szCs w:val="26"/>
    </w:rPr>
  </w:style>
  <w:style w:type="paragraph" w:styleId="789">
    <w:name w:val="Heading 5"/>
    <w:basedOn w:val="943"/>
    <w:next w:val="943"/>
    <w:link w:val="790"/>
    <w:uiPriority w:val="9"/>
    <w:unhideWhenUsed/>
    <w:qFormat/>
    <w:pPr>
      <w:keepLines/>
      <w:keepNext/>
      <w:spacing w:before="320" w:after="200"/>
      <w:outlineLvl w:val="4"/>
    </w:pPr>
    <w:rPr>
      <w:rFonts w:ascii="Arial" w:hAnsi="Arial" w:eastAsia="Arial" w:cs="Arial"/>
      <w:b/>
      <w:bCs/>
      <w:sz w:val="24"/>
      <w:szCs w:val="24"/>
    </w:rPr>
  </w:style>
  <w:style w:type="character" w:styleId="790">
    <w:name w:val="Heading 5 Char"/>
    <w:basedOn w:val="945"/>
    <w:link w:val="789"/>
    <w:uiPriority w:val="9"/>
    <w:rPr>
      <w:rFonts w:ascii="Arial" w:hAnsi="Arial" w:eastAsia="Arial" w:cs="Arial"/>
      <w:b/>
      <w:bCs/>
      <w:sz w:val="24"/>
      <w:szCs w:val="24"/>
    </w:rPr>
  </w:style>
  <w:style w:type="paragraph" w:styleId="791">
    <w:name w:val="Heading 6"/>
    <w:basedOn w:val="943"/>
    <w:next w:val="943"/>
    <w:link w:val="792"/>
    <w:uiPriority w:val="9"/>
    <w:unhideWhenUsed/>
    <w:qFormat/>
    <w:pPr>
      <w:keepLines/>
      <w:keepNext/>
      <w:spacing w:before="320" w:after="200"/>
      <w:outlineLvl w:val="5"/>
    </w:pPr>
    <w:rPr>
      <w:rFonts w:ascii="Arial" w:hAnsi="Arial" w:eastAsia="Arial" w:cs="Arial"/>
      <w:b/>
      <w:bCs/>
      <w:sz w:val="22"/>
      <w:szCs w:val="22"/>
    </w:rPr>
  </w:style>
  <w:style w:type="character" w:styleId="792">
    <w:name w:val="Heading 6 Char"/>
    <w:basedOn w:val="945"/>
    <w:link w:val="791"/>
    <w:uiPriority w:val="9"/>
    <w:rPr>
      <w:rFonts w:ascii="Arial" w:hAnsi="Arial" w:eastAsia="Arial" w:cs="Arial"/>
      <w:b/>
      <w:bCs/>
      <w:sz w:val="22"/>
      <w:szCs w:val="22"/>
    </w:rPr>
  </w:style>
  <w:style w:type="paragraph" w:styleId="793">
    <w:name w:val="Heading 7"/>
    <w:basedOn w:val="943"/>
    <w:next w:val="943"/>
    <w:link w:val="794"/>
    <w:uiPriority w:val="9"/>
    <w:unhideWhenUsed/>
    <w:qFormat/>
    <w:pPr>
      <w:keepLines/>
      <w:keepNext/>
      <w:spacing w:before="320" w:after="200"/>
      <w:outlineLvl w:val="6"/>
    </w:pPr>
    <w:rPr>
      <w:rFonts w:ascii="Arial" w:hAnsi="Arial" w:eastAsia="Arial" w:cs="Arial"/>
      <w:b/>
      <w:bCs/>
      <w:i/>
      <w:iCs/>
      <w:sz w:val="22"/>
      <w:szCs w:val="22"/>
    </w:rPr>
  </w:style>
  <w:style w:type="character" w:styleId="794">
    <w:name w:val="Heading 7 Char"/>
    <w:basedOn w:val="945"/>
    <w:link w:val="793"/>
    <w:uiPriority w:val="9"/>
    <w:rPr>
      <w:rFonts w:ascii="Arial" w:hAnsi="Arial" w:eastAsia="Arial" w:cs="Arial"/>
      <w:b/>
      <w:bCs/>
      <w:i/>
      <w:iCs/>
      <w:sz w:val="22"/>
      <w:szCs w:val="22"/>
    </w:rPr>
  </w:style>
  <w:style w:type="paragraph" w:styleId="795">
    <w:name w:val="Heading 8"/>
    <w:basedOn w:val="943"/>
    <w:next w:val="943"/>
    <w:link w:val="796"/>
    <w:uiPriority w:val="9"/>
    <w:unhideWhenUsed/>
    <w:qFormat/>
    <w:pPr>
      <w:keepLines/>
      <w:keepNext/>
      <w:spacing w:before="320" w:after="200"/>
      <w:outlineLvl w:val="7"/>
    </w:pPr>
    <w:rPr>
      <w:rFonts w:ascii="Arial" w:hAnsi="Arial" w:eastAsia="Arial" w:cs="Arial"/>
      <w:i/>
      <w:iCs/>
      <w:sz w:val="22"/>
      <w:szCs w:val="22"/>
    </w:rPr>
  </w:style>
  <w:style w:type="character" w:styleId="796">
    <w:name w:val="Heading 8 Char"/>
    <w:basedOn w:val="945"/>
    <w:link w:val="795"/>
    <w:uiPriority w:val="9"/>
    <w:rPr>
      <w:rFonts w:ascii="Arial" w:hAnsi="Arial" w:eastAsia="Arial" w:cs="Arial"/>
      <w:i/>
      <w:iCs/>
      <w:sz w:val="22"/>
      <w:szCs w:val="22"/>
    </w:rPr>
  </w:style>
  <w:style w:type="paragraph" w:styleId="797">
    <w:name w:val="Heading 9"/>
    <w:basedOn w:val="943"/>
    <w:next w:val="943"/>
    <w:link w:val="798"/>
    <w:uiPriority w:val="9"/>
    <w:unhideWhenUsed/>
    <w:qFormat/>
    <w:pPr>
      <w:keepLines/>
      <w:keepNext/>
      <w:spacing w:before="320" w:after="200"/>
      <w:outlineLvl w:val="8"/>
    </w:pPr>
    <w:rPr>
      <w:rFonts w:ascii="Arial" w:hAnsi="Arial" w:eastAsia="Arial" w:cs="Arial"/>
      <w:i/>
      <w:iCs/>
      <w:sz w:val="21"/>
      <w:szCs w:val="21"/>
    </w:rPr>
  </w:style>
  <w:style w:type="character" w:styleId="798">
    <w:name w:val="Heading 9 Char"/>
    <w:basedOn w:val="945"/>
    <w:link w:val="797"/>
    <w:uiPriority w:val="9"/>
    <w:rPr>
      <w:rFonts w:ascii="Arial" w:hAnsi="Arial" w:eastAsia="Arial" w:cs="Arial"/>
      <w:i/>
      <w:iCs/>
      <w:sz w:val="21"/>
      <w:szCs w:val="21"/>
    </w:rPr>
  </w:style>
  <w:style w:type="paragraph" w:styleId="799">
    <w:name w:val="List Paragraph"/>
    <w:basedOn w:val="943"/>
    <w:uiPriority w:val="34"/>
    <w:qFormat/>
    <w:pPr>
      <w:contextualSpacing/>
      <w:ind w:left="720"/>
    </w:pPr>
  </w:style>
  <w:style w:type="character" w:styleId="800">
    <w:name w:val="Title Char"/>
    <w:basedOn w:val="945"/>
    <w:link w:val="948"/>
    <w:uiPriority w:val="10"/>
    <w:rPr>
      <w:sz w:val="48"/>
      <w:szCs w:val="48"/>
    </w:rPr>
  </w:style>
  <w:style w:type="paragraph" w:styleId="801">
    <w:name w:val="Subtitle"/>
    <w:basedOn w:val="943"/>
    <w:next w:val="943"/>
    <w:link w:val="802"/>
    <w:uiPriority w:val="11"/>
    <w:qFormat/>
    <w:pPr>
      <w:spacing w:before="200" w:after="200"/>
    </w:pPr>
    <w:rPr>
      <w:sz w:val="24"/>
      <w:szCs w:val="24"/>
    </w:rPr>
  </w:style>
  <w:style w:type="character" w:styleId="802">
    <w:name w:val="Subtitle Char"/>
    <w:basedOn w:val="945"/>
    <w:link w:val="801"/>
    <w:uiPriority w:val="11"/>
    <w:rPr>
      <w:sz w:val="24"/>
      <w:szCs w:val="24"/>
    </w:rPr>
  </w:style>
  <w:style w:type="paragraph" w:styleId="803">
    <w:name w:val="Quote"/>
    <w:basedOn w:val="943"/>
    <w:next w:val="943"/>
    <w:link w:val="804"/>
    <w:uiPriority w:val="29"/>
    <w:qFormat/>
    <w:pPr>
      <w:ind w:left="720" w:right="720"/>
    </w:pPr>
    <w:rPr>
      <w:i/>
    </w:rPr>
  </w:style>
  <w:style w:type="character" w:styleId="804">
    <w:name w:val="Quote Char"/>
    <w:link w:val="803"/>
    <w:uiPriority w:val="29"/>
    <w:rPr>
      <w:i/>
    </w:rPr>
  </w:style>
  <w:style w:type="paragraph" w:styleId="805">
    <w:name w:val="Intense Quote"/>
    <w:basedOn w:val="943"/>
    <w:next w:val="943"/>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Intense Quote Char"/>
    <w:link w:val="805"/>
    <w:uiPriority w:val="30"/>
    <w:rPr>
      <w:i/>
    </w:rPr>
  </w:style>
  <w:style w:type="character" w:styleId="807">
    <w:name w:val="Header Char"/>
    <w:basedOn w:val="945"/>
    <w:link w:val="960"/>
    <w:uiPriority w:val="99"/>
  </w:style>
  <w:style w:type="character" w:styleId="808">
    <w:name w:val="Footer Char"/>
    <w:basedOn w:val="945"/>
    <w:link w:val="962"/>
    <w:uiPriority w:val="99"/>
  </w:style>
  <w:style w:type="paragraph" w:styleId="809">
    <w:name w:val="Caption"/>
    <w:basedOn w:val="943"/>
    <w:next w:val="943"/>
    <w:uiPriority w:val="35"/>
    <w:semiHidden/>
    <w:unhideWhenUsed/>
    <w:qFormat/>
    <w:pPr>
      <w:spacing w:line="276" w:lineRule="auto"/>
    </w:pPr>
    <w:rPr>
      <w:b/>
      <w:bCs/>
      <w:color w:val="4f81bd" w:themeColor="accent1"/>
      <w:sz w:val="18"/>
      <w:szCs w:val="18"/>
    </w:rPr>
  </w:style>
  <w:style w:type="character" w:styleId="810">
    <w:name w:val="Caption Char"/>
    <w:basedOn w:val="809"/>
    <w:link w:val="962"/>
    <w:uiPriority w:val="99"/>
  </w:style>
  <w:style w:type="table" w:styleId="811">
    <w:name w:val="Table Grid Light"/>
    <w:basedOn w:val="9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2">
    <w:name w:val="Plain Table 1"/>
    <w:basedOn w:val="9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2"/>
    <w:basedOn w:val="9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3"/>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name w:val="Plain Table 4"/>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name w:val="Plain Table 5"/>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7">
    <w:name w:val="Grid Table 1 Light"/>
    <w:basedOn w:val="9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8">
    <w:name w:val="Grid Table 1 Light - Accent 1"/>
    <w:basedOn w:val="9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9">
    <w:name w:val="Grid Table 1 Light - Accent 2"/>
    <w:basedOn w:val="9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0">
    <w:name w:val="Grid Table 1 Light - Accent 3"/>
    <w:basedOn w:val="9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1">
    <w:name w:val="Grid Table 1 Light - Accent 4"/>
    <w:basedOn w:val="9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2">
    <w:name w:val="Grid Table 1 Light - Accent 5"/>
    <w:basedOn w:val="9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3">
    <w:name w:val="Grid Table 1 Light - Accent 6"/>
    <w:basedOn w:val="9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4">
    <w:name w:val="Grid Table 2"/>
    <w:basedOn w:val="9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5">
    <w:name w:val="Grid Table 2 - Accent 1"/>
    <w:basedOn w:val="9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6">
    <w:name w:val="Grid Table 2 - Accent 2"/>
    <w:basedOn w:val="9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2 - Accent 3"/>
    <w:basedOn w:val="9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2 - Accent 4"/>
    <w:basedOn w:val="9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2 - Accent 5"/>
    <w:basedOn w:val="9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0">
    <w:name w:val="Grid Table 2 - Accent 6"/>
    <w:basedOn w:val="9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1">
    <w:name w:val="Grid Table 3"/>
    <w:basedOn w:val="9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1"/>
    <w:basedOn w:val="9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2"/>
    <w:basedOn w:val="9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3"/>
    <w:basedOn w:val="9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4"/>
    <w:basedOn w:val="9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5"/>
    <w:basedOn w:val="9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6"/>
    <w:basedOn w:val="9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4"/>
    <w:basedOn w:val="9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name w:val="Grid Table 4 - Accent 1"/>
    <w:basedOn w:val="9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0">
    <w:name w:val="Grid Table 4 - Accent 2"/>
    <w:basedOn w:val="9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1">
    <w:name w:val="Grid Table 4 - Accent 3"/>
    <w:basedOn w:val="9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2">
    <w:name w:val="Grid Table 4 - Accent 4"/>
    <w:basedOn w:val="9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3">
    <w:name w:val="Grid Table 4 - Accent 5"/>
    <w:basedOn w:val="9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4">
    <w:name w:val="Grid Table 4 - Accent 6"/>
    <w:basedOn w:val="9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5">
    <w:name w:val="Grid Table 5 Dark"/>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6">
    <w:name w:val="Grid Table 5 Dark- Accent 1"/>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7">
    <w:name w:val="Grid Table 5 Dark - Accent 2"/>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8">
    <w:name w:val="Grid Table 5 Dark - Accent 3"/>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9">
    <w:name w:val="Grid Table 5 Dark- Accent 4"/>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0">
    <w:name w:val="Grid Table 5 Dark - Accent 5"/>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1">
    <w:name w:val="Grid Table 5 Dark - Accent 6"/>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2">
    <w:name w:val="Grid Table 6 Colorful"/>
    <w:basedOn w:val="9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3">
    <w:name w:val="Grid Table 6 Colorful - Accent 1"/>
    <w:basedOn w:val="9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4">
    <w:name w:val="Grid Table 6 Colorful - Accent 2"/>
    <w:basedOn w:val="9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5">
    <w:name w:val="Grid Table 6 Colorful - Accent 3"/>
    <w:basedOn w:val="9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6">
    <w:name w:val="Grid Table 6 Colorful - Accent 4"/>
    <w:basedOn w:val="9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7">
    <w:name w:val="Grid Table 6 Colorful - Accent 5"/>
    <w:basedOn w:val="9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8">
    <w:name w:val="Grid Table 6 Colorful - Accent 6"/>
    <w:basedOn w:val="9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9">
    <w:name w:val="Grid Table 7 Colorful"/>
    <w:basedOn w:val="9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0">
    <w:name w:val="Grid Table 7 Colorful - Accent 1"/>
    <w:basedOn w:val="9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1">
    <w:name w:val="Grid Table 7 Colorful - Accent 2"/>
    <w:basedOn w:val="9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2">
    <w:name w:val="Grid Table 7 Colorful - Accent 3"/>
    <w:basedOn w:val="9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3">
    <w:name w:val="Grid Table 7 Colorful - Accent 4"/>
    <w:basedOn w:val="9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4">
    <w:name w:val="Grid Table 7 Colorful - Accent 5"/>
    <w:basedOn w:val="9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5">
    <w:name w:val="Grid Table 7 Colorful - Accent 6"/>
    <w:basedOn w:val="9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6">
    <w:name w:val="List Table 1 Light"/>
    <w:basedOn w:val="9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name w:val="List Table 1 Light - Accent 1"/>
    <w:basedOn w:val="94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8">
    <w:name w:val="List Table 1 Light - Accent 2"/>
    <w:basedOn w:val="94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9">
    <w:name w:val="List Table 1 Light - Accent 3"/>
    <w:basedOn w:val="94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0">
    <w:name w:val="List Table 1 Light - Accent 4"/>
    <w:basedOn w:val="94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1">
    <w:name w:val="List Table 1 Light - Accent 5"/>
    <w:basedOn w:val="94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2">
    <w:name w:val="List Table 1 Light - Accent 6"/>
    <w:basedOn w:val="94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3">
    <w:name w:val="List Table 2"/>
    <w:basedOn w:val="9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4">
    <w:name w:val="List Table 2 - Accent 1"/>
    <w:basedOn w:val="9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5">
    <w:name w:val="List Table 2 - Accent 2"/>
    <w:basedOn w:val="9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6">
    <w:name w:val="List Table 2 - Accent 3"/>
    <w:basedOn w:val="9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7">
    <w:name w:val="List Table 2 - Accent 4"/>
    <w:basedOn w:val="9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8">
    <w:name w:val="List Table 2 - Accent 5"/>
    <w:basedOn w:val="9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9">
    <w:name w:val="List Table 2 - Accent 6"/>
    <w:basedOn w:val="9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0">
    <w:name w:val="List Table 3"/>
    <w:basedOn w:val="9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3 - Accent 1"/>
    <w:basedOn w:val="9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2">
    <w:name w:val="List Table 3 - Accent 2"/>
    <w:basedOn w:val="9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3">
    <w:name w:val="List Table 3 - Accent 3"/>
    <w:basedOn w:val="9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4">
    <w:name w:val="List Table 3 - Accent 4"/>
    <w:basedOn w:val="9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5">
    <w:name w:val="List Table 3 - Accent 5"/>
    <w:basedOn w:val="9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6">
    <w:name w:val="List Table 3 - Accent 6"/>
    <w:basedOn w:val="9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7">
    <w:name w:val="List Table 4"/>
    <w:basedOn w:val="9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4 - Accent 1"/>
    <w:basedOn w:val="9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9">
    <w:name w:val="List Table 4 - Accent 2"/>
    <w:basedOn w:val="9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0">
    <w:name w:val="List Table 4 - Accent 3"/>
    <w:basedOn w:val="9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1">
    <w:name w:val="List Table 4 - Accent 4"/>
    <w:basedOn w:val="9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2">
    <w:name w:val="List Table 4 - Accent 5"/>
    <w:basedOn w:val="9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3">
    <w:name w:val="List Table 4 - Accent 6"/>
    <w:basedOn w:val="9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4">
    <w:name w:val="List Table 5 Dark"/>
    <w:basedOn w:val="9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1"/>
    <w:basedOn w:val="9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2"/>
    <w:basedOn w:val="9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3"/>
    <w:basedOn w:val="9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4"/>
    <w:basedOn w:val="9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5"/>
    <w:basedOn w:val="9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6"/>
    <w:basedOn w:val="9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6 Colorful"/>
    <w:basedOn w:val="9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2">
    <w:name w:val="List Table 6 Colorful - Accent 1"/>
    <w:basedOn w:val="9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3">
    <w:name w:val="List Table 6 Colorful - Accent 2"/>
    <w:basedOn w:val="9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4">
    <w:name w:val="List Table 6 Colorful - Accent 3"/>
    <w:basedOn w:val="9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5">
    <w:name w:val="List Table 6 Colorful - Accent 4"/>
    <w:basedOn w:val="9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6">
    <w:name w:val="List Table 6 Colorful - Accent 5"/>
    <w:basedOn w:val="9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7">
    <w:name w:val="List Table 6 Colorful - Accent 6"/>
    <w:basedOn w:val="9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8">
    <w:name w:val="List Table 7 Colorful"/>
    <w:basedOn w:val="9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9">
    <w:name w:val="List Table 7 Colorful - Accent 1"/>
    <w:basedOn w:val="9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0">
    <w:name w:val="List Table 7 Colorful - Accent 2"/>
    <w:basedOn w:val="9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1">
    <w:name w:val="List Table 7 Colorful - Accent 3"/>
    <w:basedOn w:val="9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2">
    <w:name w:val="List Table 7 Colorful - Accent 4"/>
    <w:basedOn w:val="9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3">
    <w:name w:val="List Table 7 Colorful - Accent 5"/>
    <w:basedOn w:val="9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4">
    <w:name w:val="List Table 7 Colorful - Accent 6"/>
    <w:basedOn w:val="9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5">
    <w:name w:val="Lined - Accent"/>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Lined - Accent 1"/>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7">
    <w:name w:val="Lined - Accent 2"/>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8">
    <w:name w:val="Lined - Accent 3"/>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9">
    <w:name w:val="Lined - Accent 4"/>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0">
    <w:name w:val="Lined - Accent 5"/>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1">
    <w:name w:val="Lined - Accent 6"/>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2">
    <w:name w:val="Bordered &amp; Lined - Accent"/>
    <w:basedOn w:val="9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Bordered &amp; Lined - Accent 1"/>
    <w:basedOn w:val="9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Bordered &amp; Lined - Accent 2"/>
    <w:basedOn w:val="9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Bordered &amp; Lined - Accent 3"/>
    <w:basedOn w:val="9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Bordered &amp; Lined - Accent 4"/>
    <w:basedOn w:val="9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Bordered &amp; Lined - Accent 5"/>
    <w:basedOn w:val="9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Bordered &amp; Lined - Accent 6"/>
    <w:basedOn w:val="9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w:basedOn w:val="9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0">
    <w:name w:val="Bordered - Accent 1"/>
    <w:basedOn w:val="9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1">
    <w:name w:val="Bordered - Accent 2"/>
    <w:basedOn w:val="9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2">
    <w:name w:val="Bordered - Accent 3"/>
    <w:basedOn w:val="9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3">
    <w:name w:val="Bordered - Accent 4"/>
    <w:basedOn w:val="9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4">
    <w:name w:val="Bordered - Accent 5"/>
    <w:basedOn w:val="9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5">
    <w:name w:val="Bordered - Accent 6"/>
    <w:basedOn w:val="9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6">
    <w:name w:val="footnote text"/>
    <w:basedOn w:val="943"/>
    <w:link w:val="937"/>
    <w:uiPriority w:val="99"/>
    <w:semiHidden/>
    <w:unhideWhenUsed/>
    <w:pPr>
      <w:spacing w:after="40" w:line="240" w:lineRule="auto"/>
    </w:pPr>
    <w:rPr>
      <w:sz w:val="18"/>
    </w:rPr>
  </w:style>
  <w:style w:type="character" w:styleId="937">
    <w:name w:val="Footnote Text Char"/>
    <w:link w:val="936"/>
    <w:uiPriority w:val="99"/>
    <w:rPr>
      <w:sz w:val="18"/>
    </w:rPr>
  </w:style>
  <w:style w:type="character" w:styleId="938">
    <w:name w:val="footnote reference"/>
    <w:basedOn w:val="945"/>
    <w:uiPriority w:val="99"/>
    <w:unhideWhenUsed/>
    <w:rPr>
      <w:vertAlign w:val="superscript"/>
    </w:rPr>
  </w:style>
  <w:style w:type="paragraph" w:styleId="939">
    <w:name w:val="endnote text"/>
    <w:basedOn w:val="943"/>
    <w:link w:val="940"/>
    <w:uiPriority w:val="99"/>
    <w:semiHidden/>
    <w:unhideWhenUsed/>
    <w:pPr>
      <w:spacing w:after="0" w:line="240" w:lineRule="auto"/>
    </w:pPr>
    <w:rPr>
      <w:sz w:val="20"/>
    </w:rPr>
  </w:style>
  <w:style w:type="character" w:styleId="940">
    <w:name w:val="Endnote Text Char"/>
    <w:link w:val="939"/>
    <w:uiPriority w:val="99"/>
    <w:rPr>
      <w:sz w:val="20"/>
    </w:rPr>
  </w:style>
  <w:style w:type="character" w:styleId="941">
    <w:name w:val="endnote reference"/>
    <w:basedOn w:val="945"/>
    <w:uiPriority w:val="99"/>
    <w:semiHidden/>
    <w:unhideWhenUsed/>
    <w:rPr>
      <w:vertAlign w:val="superscript"/>
    </w:rPr>
  </w:style>
  <w:style w:type="paragraph" w:styleId="942">
    <w:name w:val="table of figures"/>
    <w:basedOn w:val="943"/>
    <w:next w:val="943"/>
    <w:uiPriority w:val="99"/>
    <w:unhideWhenUsed/>
    <w:pPr>
      <w:spacing w:after="0" w:afterAutospacing="0"/>
    </w:pPr>
  </w:style>
  <w:style w:type="paragraph" w:styleId="943" w:default="1">
    <w:name w:val="Normal"/>
    <w:qFormat/>
    <w:pPr>
      <w:jc w:val="both"/>
      <w:widowControl w:val="off"/>
    </w:pPr>
  </w:style>
  <w:style w:type="paragraph" w:styleId="944">
    <w:name w:val="Heading 1"/>
    <w:basedOn w:val="943"/>
    <w:next w:val="943"/>
    <w:link w:val="989"/>
    <w:uiPriority w:val="9"/>
    <w:qFormat/>
    <w:pPr>
      <w:keepLines/>
      <w:keepNext/>
      <w:spacing w:before="340" w:after="330" w:line="578" w:lineRule="auto"/>
      <w:outlineLvl w:val="0"/>
    </w:pPr>
    <w:rPr>
      <w:b/>
      <w:bCs/>
      <w:sz w:val="44"/>
      <w:szCs w:val="44"/>
    </w:rPr>
  </w:style>
  <w:style w:type="character" w:styleId="945" w:default="1">
    <w:name w:val="Default Paragraph Font"/>
    <w:uiPriority w:val="1"/>
    <w:semiHidden/>
    <w:unhideWhenUsed/>
  </w:style>
  <w:style w:type="table" w:styleId="946" w:default="1">
    <w:name w:val="Normal Table"/>
    <w:uiPriority w:val="99"/>
    <w:semiHidden/>
    <w:unhideWhenUsed/>
    <w:tblPr>
      <w:tblInd w:w="0" w:type="dxa"/>
      <w:tblCellMar>
        <w:left w:w="108" w:type="dxa"/>
        <w:top w:w="0" w:type="dxa"/>
        <w:right w:w="108" w:type="dxa"/>
        <w:bottom w:w="0" w:type="dxa"/>
      </w:tblCellMar>
    </w:tblPr>
  </w:style>
  <w:style w:type="numbering" w:styleId="947" w:default="1">
    <w:name w:val="No List"/>
    <w:uiPriority w:val="99"/>
    <w:semiHidden/>
    <w:unhideWhenUsed/>
  </w:style>
  <w:style w:type="paragraph" w:styleId="948">
    <w:name w:val="Title"/>
    <w:basedOn w:val="943"/>
    <w:next w:val="943"/>
    <w:link w:val="949"/>
    <w:uiPriority w:val="10"/>
    <w:qFormat/>
    <w:pPr>
      <w:jc w:val="center"/>
      <w:spacing w:line="400" w:lineRule="exact"/>
      <w:outlineLvl w:val="0"/>
    </w:pPr>
    <w:rPr>
      <w:rFonts w:eastAsia="黑体" w:asciiTheme="majorHAnsi" w:hAnsiTheme="majorHAnsi" w:cstheme="majorBidi"/>
      <w:bCs/>
      <w:sz w:val="30"/>
      <w:szCs w:val="32"/>
    </w:rPr>
  </w:style>
  <w:style w:type="character" w:styleId="949" w:customStyle="1">
    <w:name w:val="标题 Char"/>
    <w:basedOn w:val="945"/>
    <w:link w:val="948"/>
    <w:uiPriority w:val="10"/>
    <w:rPr>
      <w:rFonts w:eastAsia="黑体" w:asciiTheme="majorHAnsi" w:hAnsiTheme="majorHAnsi" w:cstheme="majorBidi"/>
      <w:bCs/>
      <w:sz w:val="30"/>
      <w:szCs w:val="32"/>
    </w:rPr>
  </w:style>
  <w:style w:type="paragraph" w:styleId="950">
    <w:name w:val="toc 1"/>
    <w:basedOn w:val="943"/>
    <w:next w:val="943"/>
    <w:uiPriority w:val="39"/>
    <w:unhideWhenUsed/>
    <w:qFormat/>
    <w:pPr>
      <w:jc w:val="left"/>
      <w:spacing w:before="120" w:after="120"/>
    </w:pPr>
    <w:rPr>
      <w:b/>
      <w:bCs/>
      <w:caps/>
      <w:sz w:val="20"/>
      <w:szCs w:val="20"/>
    </w:rPr>
  </w:style>
  <w:style w:type="character" w:styleId="951">
    <w:name w:val="Hyperlink"/>
    <w:basedOn w:val="945"/>
    <w:uiPriority w:val="99"/>
    <w:unhideWhenUsed/>
    <w:rPr>
      <w:color w:val="0000ff" w:themeColor="hyperlink"/>
      <w:u w:val="single"/>
    </w:rPr>
  </w:style>
  <w:style w:type="paragraph" w:styleId="952">
    <w:name w:val="toc 2"/>
    <w:basedOn w:val="943"/>
    <w:next w:val="943"/>
    <w:uiPriority w:val="39"/>
    <w:unhideWhenUsed/>
    <w:qFormat/>
    <w:pPr>
      <w:ind w:left="210"/>
      <w:jc w:val="left"/>
    </w:pPr>
    <w:rPr>
      <w:smallCaps/>
      <w:sz w:val="20"/>
      <w:szCs w:val="20"/>
    </w:rPr>
  </w:style>
  <w:style w:type="paragraph" w:styleId="953">
    <w:name w:val="toc 3"/>
    <w:basedOn w:val="943"/>
    <w:next w:val="943"/>
    <w:uiPriority w:val="39"/>
    <w:unhideWhenUsed/>
    <w:qFormat/>
    <w:pPr>
      <w:ind w:left="420"/>
      <w:jc w:val="left"/>
    </w:pPr>
    <w:rPr>
      <w:i/>
      <w:iCs/>
      <w:sz w:val="20"/>
      <w:szCs w:val="20"/>
    </w:rPr>
  </w:style>
  <w:style w:type="paragraph" w:styleId="954">
    <w:name w:val="toc 4"/>
    <w:basedOn w:val="943"/>
    <w:next w:val="943"/>
    <w:uiPriority w:val="39"/>
    <w:unhideWhenUsed/>
    <w:pPr>
      <w:ind w:left="630"/>
      <w:jc w:val="left"/>
    </w:pPr>
    <w:rPr>
      <w:sz w:val="18"/>
      <w:szCs w:val="18"/>
    </w:rPr>
  </w:style>
  <w:style w:type="paragraph" w:styleId="955">
    <w:name w:val="toc 5"/>
    <w:basedOn w:val="943"/>
    <w:next w:val="943"/>
    <w:uiPriority w:val="39"/>
    <w:unhideWhenUsed/>
    <w:pPr>
      <w:ind w:left="840"/>
      <w:jc w:val="left"/>
    </w:pPr>
    <w:rPr>
      <w:sz w:val="18"/>
      <w:szCs w:val="18"/>
    </w:rPr>
  </w:style>
  <w:style w:type="paragraph" w:styleId="956">
    <w:name w:val="toc 6"/>
    <w:basedOn w:val="943"/>
    <w:next w:val="943"/>
    <w:uiPriority w:val="39"/>
    <w:unhideWhenUsed/>
    <w:pPr>
      <w:ind w:left="1050"/>
      <w:jc w:val="left"/>
    </w:pPr>
    <w:rPr>
      <w:sz w:val="18"/>
      <w:szCs w:val="18"/>
    </w:rPr>
  </w:style>
  <w:style w:type="paragraph" w:styleId="957">
    <w:name w:val="toc 7"/>
    <w:basedOn w:val="943"/>
    <w:next w:val="943"/>
    <w:uiPriority w:val="39"/>
    <w:unhideWhenUsed/>
    <w:pPr>
      <w:ind w:left="1260"/>
      <w:jc w:val="left"/>
    </w:pPr>
    <w:rPr>
      <w:sz w:val="18"/>
      <w:szCs w:val="18"/>
    </w:rPr>
  </w:style>
  <w:style w:type="paragraph" w:styleId="958">
    <w:name w:val="toc 8"/>
    <w:basedOn w:val="943"/>
    <w:next w:val="943"/>
    <w:uiPriority w:val="39"/>
    <w:unhideWhenUsed/>
    <w:pPr>
      <w:ind w:left="1470"/>
      <w:jc w:val="left"/>
    </w:pPr>
    <w:rPr>
      <w:sz w:val="18"/>
      <w:szCs w:val="18"/>
    </w:rPr>
  </w:style>
  <w:style w:type="paragraph" w:styleId="959">
    <w:name w:val="toc 9"/>
    <w:basedOn w:val="943"/>
    <w:next w:val="943"/>
    <w:uiPriority w:val="39"/>
    <w:unhideWhenUsed/>
    <w:pPr>
      <w:ind w:left="1680"/>
      <w:jc w:val="left"/>
    </w:pPr>
    <w:rPr>
      <w:sz w:val="18"/>
      <w:szCs w:val="18"/>
    </w:rPr>
  </w:style>
  <w:style w:type="paragraph" w:styleId="960">
    <w:name w:val="Header"/>
    <w:basedOn w:val="943"/>
    <w:link w:val="961"/>
    <w:unhideWhenUsed/>
    <w:pPr>
      <w:jc w:val="center"/>
      <w:tabs>
        <w:tab w:val="center" w:pos="4153" w:leader="none"/>
        <w:tab w:val="right" w:pos="8306" w:leader="none"/>
      </w:tabs>
      <w:pBdr>
        <w:bottom w:val="single" w:color="auto" w:sz="6" w:space="1"/>
      </w:pBdr>
    </w:pPr>
    <w:rPr>
      <w:sz w:val="18"/>
      <w:szCs w:val="18"/>
    </w:rPr>
  </w:style>
  <w:style w:type="character" w:styleId="961" w:customStyle="1">
    <w:name w:val="页眉 Char"/>
    <w:basedOn w:val="945"/>
    <w:link w:val="960"/>
    <w:qFormat/>
    <w:rPr>
      <w:sz w:val="18"/>
      <w:szCs w:val="18"/>
    </w:rPr>
  </w:style>
  <w:style w:type="paragraph" w:styleId="962">
    <w:name w:val="Footer"/>
    <w:basedOn w:val="943"/>
    <w:link w:val="963"/>
    <w:unhideWhenUsed/>
    <w:pPr>
      <w:jc w:val="left"/>
      <w:tabs>
        <w:tab w:val="center" w:pos="4153" w:leader="none"/>
        <w:tab w:val="right" w:pos="8306" w:leader="none"/>
      </w:tabs>
    </w:pPr>
    <w:rPr>
      <w:sz w:val="18"/>
      <w:szCs w:val="18"/>
    </w:rPr>
  </w:style>
  <w:style w:type="character" w:styleId="963" w:customStyle="1">
    <w:name w:val="页脚 Char"/>
    <w:basedOn w:val="945"/>
    <w:link w:val="962"/>
    <w:rPr>
      <w:sz w:val="18"/>
      <w:szCs w:val="18"/>
    </w:rPr>
  </w:style>
  <w:style w:type="character" w:styleId="964">
    <w:name w:val="page number"/>
  </w:style>
  <w:style w:type="character" w:styleId="965" w:customStyle="1">
    <w:name w:val="font2800"/>
    <w:basedOn w:val="945"/>
  </w:style>
  <w:style w:type="table" w:styleId="966">
    <w:name w:val="Table Grid"/>
    <w:basedOn w:val="946"/>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67">
    <w:name w:val="Balloon Text"/>
    <w:basedOn w:val="943"/>
    <w:link w:val="968"/>
    <w:uiPriority w:val="99"/>
    <w:semiHidden/>
    <w:unhideWhenUsed/>
    <w:qFormat/>
    <w:rPr>
      <w:sz w:val="18"/>
      <w:szCs w:val="18"/>
    </w:rPr>
  </w:style>
  <w:style w:type="character" w:styleId="968" w:customStyle="1">
    <w:name w:val="批注框文本 Char"/>
    <w:basedOn w:val="945"/>
    <w:link w:val="967"/>
    <w:uiPriority w:val="99"/>
    <w:semiHidden/>
    <w:qFormat/>
    <w:rPr>
      <w:sz w:val="18"/>
      <w:szCs w:val="18"/>
    </w:rPr>
  </w:style>
  <w:style w:type="table" w:styleId="969" w:customStyle="1">
    <w:name w:val="网格型1"/>
    <w:basedOn w:val="946"/>
    <w:next w:val="966"/>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0">
    <w:name w:val="annotation reference"/>
    <w:basedOn w:val="945"/>
    <w:uiPriority w:val="99"/>
    <w:semiHidden/>
    <w:unhideWhenUsed/>
    <w:qFormat/>
    <w:rPr>
      <w:sz w:val="21"/>
      <w:szCs w:val="21"/>
    </w:rPr>
  </w:style>
  <w:style w:type="paragraph" w:styleId="971">
    <w:name w:val="annotation text"/>
    <w:basedOn w:val="943"/>
    <w:link w:val="972"/>
    <w:uiPriority w:val="99"/>
    <w:semiHidden/>
    <w:unhideWhenUsed/>
    <w:qFormat/>
    <w:pPr>
      <w:jc w:val="left"/>
    </w:pPr>
  </w:style>
  <w:style w:type="character" w:styleId="972" w:customStyle="1">
    <w:name w:val="批注文字 Char"/>
    <w:basedOn w:val="945"/>
    <w:link w:val="971"/>
    <w:uiPriority w:val="99"/>
    <w:semiHidden/>
    <w:qFormat/>
  </w:style>
  <w:style w:type="paragraph" w:styleId="973">
    <w:name w:val="annotation subject"/>
    <w:basedOn w:val="971"/>
    <w:next w:val="971"/>
    <w:link w:val="974"/>
    <w:uiPriority w:val="99"/>
    <w:semiHidden/>
    <w:unhideWhenUsed/>
    <w:rPr>
      <w:b/>
      <w:bCs/>
    </w:rPr>
  </w:style>
  <w:style w:type="character" w:styleId="974" w:customStyle="1">
    <w:name w:val="批注主题 Char"/>
    <w:basedOn w:val="972"/>
    <w:link w:val="973"/>
    <w:uiPriority w:val="99"/>
    <w:semiHidden/>
    <w:rPr>
      <w:b/>
      <w:bCs/>
    </w:rPr>
  </w:style>
  <w:style w:type="paragraph" w:styleId="975">
    <w:name w:val="Body Text"/>
    <w:basedOn w:val="943"/>
    <w:link w:val="977"/>
    <w:pPr>
      <w:spacing w:line="360" w:lineRule="auto"/>
    </w:pPr>
    <w:rPr>
      <w:rFonts w:ascii="楷体_GB2312" w:hAnsi="Times New Roman" w:eastAsia="楷体_GB2312" w:cs="Times New Roman"/>
      <w:bCs/>
      <w:sz w:val="28"/>
      <w:szCs w:val="24"/>
    </w:rPr>
  </w:style>
  <w:style w:type="character" w:styleId="976" w:customStyle="1">
    <w:name w:val="正文文本 Char"/>
    <w:basedOn w:val="945"/>
    <w:uiPriority w:val="99"/>
    <w:semiHidden/>
    <w:qFormat/>
  </w:style>
  <w:style w:type="character" w:styleId="977" w:customStyle="1">
    <w:name w:val="正文文本 Char1"/>
    <w:link w:val="975"/>
    <w:qFormat/>
    <w:rPr>
      <w:rFonts w:ascii="楷体_GB2312" w:hAnsi="Times New Roman" w:eastAsia="楷体_GB2312" w:cs="Times New Roman"/>
      <w:bCs/>
      <w:sz w:val="28"/>
      <w:szCs w:val="24"/>
    </w:rPr>
  </w:style>
  <w:style w:type="paragraph" w:styleId="978" w:customStyle="1">
    <w:name w:val="Table Paragraph"/>
    <w:basedOn w:val="943"/>
    <w:uiPriority w:val="1"/>
    <w:pPr>
      <w:ind w:firstLine="260"/>
      <w:jc w:val="left"/>
      <w:spacing w:line="360" w:lineRule="auto"/>
    </w:pPr>
    <w:rPr>
      <w:rFonts w:ascii="Calibri" w:hAnsi="Calibri" w:eastAsia="仿宋" w:cs="Times New Roman"/>
      <w:sz w:val="28"/>
      <w:lang w:eastAsia="en-US"/>
    </w:rPr>
  </w:style>
  <w:style w:type="paragraph" w:styleId="979">
    <w:name w:val="No Spacing"/>
    <w:link w:val="980"/>
    <w:uiPriority w:val="1"/>
    <w:qFormat/>
    <w:pPr>
      <w:jc w:val="both"/>
      <w:spacing w:line="360" w:lineRule="auto"/>
      <w:widowControl w:val="off"/>
    </w:pPr>
    <w:rPr>
      <w:rFonts w:ascii="宋体" w:hAnsi="宋体"/>
      <w:sz w:val="24"/>
    </w:rPr>
  </w:style>
  <w:style w:type="character" w:styleId="980" w:customStyle="1">
    <w:name w:val="无间隔 Char"/>
    <w:link w:val="979"/>
    <w:uiPriority w:val="1"/>
    <w:qFormat/>
    <w:rPr>
      <w:rFonts w:ascii="宋体" w:hAnsi="宋体"/>
      <w:sz w:val="24"/>
    </w:rPr>
  </w:style>
  <w:style w:type="paragraph" w:styleId="981">
    <w:name w:val="Body Text Indent"/>
    <w:basedOn w:val="943"/>
    <w:link w:val="982"/>
    <w:unhideWhenUsed/>
    <w:pPr>
      <w:ind w:left="420"/>
      <w:spacing w:after="120"/>
    </w:pPr>
  </w:style>
  <w:style w:type="character" w:styleId="982" w:customStyle="1">
    <w:name w:val="正文文本缩进 Char"/>
    <w:basedOn w:val="945"/>
    <w:link w:val="981"/>
    <w:qFormat/>
  </w:style>
  <w:style w:type="table" w:styleId="983" w:customStyle="1">
    <w:name w:val="网格型2"/>
    <w:basedOn w:val="946"/>
    <w:next w:val="966"/>
    <w:uiPriority w:val="59"/>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84">
    <w:name w:val="Revision"/>
    <w:hidden/>
    <w:uiPriority w:val="99"/>
    <w:unhideWhenUsed/>
  </w:style>
  <w:style w:type="table" w:styleId="985" w:customStyle="1">
    <w:name w:val="网格型3"/>
    <w:basedOn w:val="946"/>
    <w:next w:val="966"/>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86" w:customStyle="1">
    <w:name w:val="无列表1"/>
    <w:next w:val="947"/>
    <w:uiPriority w:val="99"/>
    <w:semiHidden/>
    <w:unhideWhenUsed/>
  </w:style>
  <w:style w:type="table" w:styleId="987" w:customStyle="1">
    <w:name w:val="网格型4"/>
    <w:basedOn w:val="946"/>
    <w:next w:val="966"/>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8" w:customStyle="1">
    <w:name w:val="Table Normal"/>
    <w:semiHidden/>
    <w:unhideWhenUsed/>
    <w:qFormat/>
    <w:rPr>
      <w:sz w:val="20"/>
      <w:szCs w:val="20"/>
    </w:rPr>
    <w:tblPr>
      <w:tblCellMar>
        <w:left w:w="0" w:type="dxa"/>
        <w:top w:w="0" w:type="dxa"/>
        <w:right w:w="0" w:type="dxa"/>
        <w:bottom w:w="0" w:type="dxa"/>
      </w:tblCellMar>
    </w:tblPr>
  </w:style>
  <w:style w:type="character" w:styleId="989" w:customStyle="1">
    <w:name w:val="标题 1 Char"/>
    <w:basedOn w:val="945"/>
    <w:link w:val="944"/>
    <w:uiPriority w:val="9"/>
    <w:rPr>
      <w:b/>
      <w:bCs/>
      <w:sz w:val="44"/>
      <w:szCs w:val="44"/>
    </w:rPr>
  </w:style>
  <w:style w:type="paragraph" w:styleId="990">
    <w:name w:val="TOC Heading"/>
    <w:basedOn w:val="944"/>
    <w:next w:val="943"/>
    <w:uiPriority w:val="39"/>
    <w:semiHidden/>
    <w:unhideWhenUsed/>
    <w:qFormat/>
    <w:pPr>
      <w:jc w:val="left"/>
      <w:spacing w:before="480" w:after="0" w:line="276" w:lineRule="auto"/>
      <w:widowControl/>
      <w:outlineLvl w:val="9"/>
    </w:pPr>
    <w:rPr>
      <w:rFonts w:asciiTheme="majorHAnsi" w:hAnsiTheme="majorHAnsi" w:eastAsiaTheme="majorEastAsia" w:cstheme="majorBidi"/>
      <w:color w:val="365f91" w:themeColor="accent1" w:themeShade="BF"/>
      <w:sz w:val="28"/>
      <w:szCs w:val="28"/>
    </w:rPr>
  </w:style>
  <w:style w:type="character" w:styleId="991" w:customStyle="1">
    <w:name w:val="font21"/>
    <w:basedOn w:val="945"/>
    <w:rPr>
      <w:rFonts w:ascii="Calibri" w:hAnsi="Calibri" w:cs="Calibri"/>
      <w:color w:val="000000"/>
      <w:sz w:val="21"/>
      <w:szCs w:val="21"/>
      <w:u w:val="none"/>
    </w:rPr>
  </w:style>
  <w:style w:type="character" w:styleId="992" w:customStyle="1">
    <w:name w:val="font11"/>
    <w:basedOn w:val="945"/>
    <w:rPr>
      <w:rFonts w:hint="eastAsia" w:ascii="宋体" w:hAnsi="宋体" w:eastAsia="宋体" w:cs="宋体"/>
      <w:color w:val="000000"/>
      <w:sz w:val="21"/>
      <w:szCs w:val="21"/>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A36219-21A1-4A37-AF48-F2E584BA4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张林乔</cp:lastModifiedBy>
  <cp:revision>84</cp:revision>
  <dcterms:created xsi:type="dcterms:W3CDTF">2025-10-17T05:39:00Z</dcterms:created>
  <dcterms:modified xsi:type="dcterms:W3CDTF">2025-11-21T01:25:45Z</dcterms:modified>
</cp:coreProperties>
</file>